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09321" w14:textId="298DD836" w:rsidR="005F1A16" w:rsidRDefault="000E1669" w:rsidP="00C95DF1">
      <w:pPr>
        <w:pStyle w:val="paragraph"/>
        <w:spacing w:before="0" w:beforeAutospacing="0" w:after="120" w:afterAutospacing="0"/>
        <w:jc w:val="center"/>
        <w:textAlignment w:val="baseline"/>
        <w:rPr>
          <w:rFonts w:ascii="Segoe UI" w:hAnsi="Segoe UI" w:cs="Segoe UI"/>
          <w:sz w:val="18"/>
          <w:szCs w:val="18"/>
        </w:rPr>
      </w:pPr>
      <w:r>
        <w:rPr>
          <w:rStyle w:val="normaltextrun"/>
          <w:rFonts w:ascii="Arial" w:hAnsi="Arial" w:cs="Arial"/>
          <w:sz w:val="40"/>
          <w:szCs w:val="40"/>
        </w:rPr>
        <w:t>NSTA</w:t>
      </w:r>
      <w:r w:rsidR="001E342B">
        <w:rPr>
          <w:rStyle w:val="normaltextrun"/>
          <w:rFonts w:ascii="Arial" w:hAnsi="Arial" w:cs="Arial"/>
          <w:sz w:val="40"/>
          <w:szCs w:val="40"/>
        </w:rPr>
        <w:t xml:space="preserve"> ESG Taskforce</w:t>
      </w:r>
    </w:p>
    <w:p w14:paraId="4F2909D7" w14:textId="4253BD14" w:rsidR="005F1A16" w:rsidRDefault="64658EDE" w:rsidP="31385132">
      <w:pPr>
        <w:pStyle w:val="paragraph"/>
        <w:spacing w:before="0" w:beforeAutospacing="0" w:after="240" w:afterAutospacing="0"/>
        <w:jc w:val="center"/>
        <w:textAlignment w:val="baseline"/>
        <w:rPr>
          <w:rStyle w:val="eop"/>
          <w:rFonts w:ascii="Arial" w:hAnsi="Arial" w:cs="Arial"/>
          <w:sz w:val="32"/>
          <w:szCs w:val="32"/>
        </w:rPr>
      </w:pPr>
      <w:r w:rsidRPr="31385132">
        <w:rPr>
          <w:rStyle w:val="normaltextrun"/>
          <w:rFonts w:ascii="Arial" w:hAnsi="Arial" w:cs="Arial"/>
          <w:b/>
          <w:bCs/>
          <w:sz w:val="32"/>
          <w:szCs w:val="32"/>
        </w:rPr>
        <w:t xml:space="preserve">REVISED </w:t>
      </w:r>
      <w:r w:rsidR="005F1A16" w:rsidRPr="31385132">
        <w:rPr>
          <w:rStyle w:val="normaltextrun"/>
          <w:rFonts w:ascii="Arial" w:hAnsi="Arial" w:cs="Arial"/>
          <w:b/>
          <w:bCs/>
          <w:sz w:val="32"/>
          <w:szCs w:val="32"/>
        </w:rPr>
        <w:t>TERMS OF REFERENCE</w:t>
      </w:r>
      <w:r w:rsidR="005F1A16" w:rsidRPr="31385132">
        <w:rPr>
          <w:rStyle w:val="eop"/>
          <w:rFonts w:ascii="Arial" w:hAnsi="Arial" w:cs="Arial"/>
          <w:sz w:val="32"/>
          <w:szCs w:val="32"/>
        </w:rPr>
        <w:t> </w:t>
      </w:r>
    </w:p>
    <w:p w14:paraId="43B76CBD" w14:textId="4217B99E" w:rsidR="001E342B" w:rsidRDefault="00204408" w:rsidP="00C95DF1">
      <w:pPr>
        <w:pStyle w:val="paragraph"/>
        <w:spacing w:before="0" w:beforeAutospacing="0" w:after="240" w:afterAutospacing="0"/>
        <w:jc w:val="center"/>
        <w:textAlignment w:val="baseline"/>
        <w:rPr>
          <w:rFonts w:ascii="Segoe UI" w:hAnsi="Segoe UI" w:cs="Segoe UI"/>
          <w:sz w:val="18"/>
          <w:szCs w:val="18"/>
        </w:rPr>
      </w:pPr>
      <w:r>
        <w:rPr>
          <w:rStyle w:val="eop"/>
          <w:rFonts w:ascii="Arial" w:hAnsi="Arial" w:cs="Arial"/>
          <w:sz w:val="32"/>
          <w:szCs w:val="32"/>
        </w:rPr>
        <w:t>December 2024</w:t>
      </w:r>
    </w:p>
    <w:p w14:paraId="3311D53C" w14:textId="5FFD583A" w:rsidR="00912321" w:rsidRDefault="650B460F" w:rsidP="00280473">
      <w:pPr>
        <w:pStyle w:val="paragraph"/>
        <w:spacing w:before="120" w:beforeAutospacing="0" w:after="120" w:afterAutospacing="0"/>
        <w:jc w:val="both"/>
        <w:rPr>
          <w:rStyle w:val="normaltextrun"/>
          <w:rFonts w:ascii="Arial" w:hAnsi="Arial" w:cs="Arial"/>
          <w:b/>
          <w:bCs/>
        </w:rPr>
      </w:pPr>
      <w:r w:rsidRPr="31385132">
        <w:rPr>
          <w:rStyle w:val="normaltextrun"/>
          <w:rFonts w:ascii="Arial" w:hAnsi="Arial" w:cs="Arial"/>
          <w:b/>
          <w:bCs/>
        </w:rPr>
        <w:t>Introduction</w:t>
      </w:r>
      <w:r w:rsidR="66F16349" w:rsidRPr="31385132">
        <w:rPr>
          <w:rStyle w:val="normaltextrun"/>
          <w:rFonts w:ascii="Arial" w:hAnsi="Arial" w:cs="Arial"/>
          <w:b/>
          <w:bCs/>
        </w:rPr>
        <w:t xml:space="preserve"> </w:t>
      </w:r>
    </w:p>
    <w:p w14:paraId="7F72269B" w14:textId="0A516D7A" w:rsidR="00912321" w:rsidRDefault="570640F6" w:rsidP="00280473">
      <w:pPr>
        <w:pStyle w:val="paragraph"/>
        <w:spacing w:before="0" w:beforeAutospacing="0" w:after="240" w:afterAutospacing="0"/>
        <w:jc w:val="both"/>
        <w:textAlignment w:val="baseline"/>
        <w:rPr>
          <w:rStyle w:val="eop"/>
          <w:rFonts w:ascii="Arial" w:eastAsia="Arial" w:hAnsi="Arial" w:cs="Arial"/>
          <w:sz w:val="22"/>
          <w:szCs w:val="22"/>
        </w:rPr>
      </w:pPr>
      <w:r w:rsidRPr="31385132">
        <w:rPr>
          <w:rStyle w:val="eop"/>
          <w:rFonts w:ascii="Arial" w:eastAsia="Arial" w:hAnsi="Arial" w:cs="Arial"/>
          <w:sz w:val="22"/>
          <w:szCs w:val="22"/>
        </w:rPr>
        <w:t xml:space="preserve">The </w:t>
      </w:r>
      <w:r w:rsidR="000E1669">
        <w:rPr>
          <w:rStyle w:val="eop"/>
          <w:rFonts w:ascii="Arial" w:eastAsia="Arial" w:hAnsi="Arial" w:cs="Arial"/>
          <w:sz w:val="22"/>
          <w:szCs w:val="22"/>
        </w:rPr>
        <w:t>NSTA</w:t>
      </w:r>
      <w:r w:rsidRPr="31385132">
        <w:rPr>
          <w:rStyle w:val="eop"/>
          <w:rFonts w:ascii="Arial" w:eastAsia="Arial" w:hAnsi="Arial" w:cs="Arial"/>
          <w:sz w:val="22"/>
          <w:szCs w:val="22"/>
        </w:rPr>
        <w:t xml:space="preserve"> Strategy is clear that </w:t>
      </w:r>
      <w:r w:rsidR="3B1D7BA6" w:rsidRPr="31385132">
        <w:rPr>
          <w:rStyle w:val="eop"/>
          <w:rFonts w:ascii="Arial" w:eastAsia="Arial" w:hAnsi="Arial" w:cs="Arial"/>
          <w:sz w:val="22"/>
          <w:szCs w:val="22"/>
        </w:rPr>
        <w:t>O</w:t>
      </w:r>
      <w:r w:rsidRPr="31385132">
        <w:rPr>
          <w:rStyle w:val="eop"/>
          <w:rFonts w:ascii="Arial" w:eastAsia="Arial" w:hAnsi="Arial" w:cs="Arial"/>
          <w:sz w:val="22"/>
          <w:szCs w:val="22"/>
        </w:rPr>
        <w:t>perators and licensees should develop good ESG practices in their plans and daily operations. In doing so, they will also meet investor requirements, as vital climate-related information will be included alongside other key metrics in oil and gas operators and licensees’ financial reports.</w:t>
      </w:r>
    </w:p>
    <w:p w14:paraId="4113FA4E" w14:textId="1BA58A4C" w:rsidR="00912321" w:rsidRDefault="650B460F" w:rsidP="00280473">
      <w:pPr>
        <w:pStyle w:val="paragraph"/>
        <w:spacing w:before="0" w:beforeAutospacing="0" w:after="240" w:afterAutospacing="0"/>
        <w:jc w:val="both"/>
        <w:textAlignment w:val="baseline"/>
        <w:rPr>
          <w:rStyle w:val="eop"/>
          <w:rFonts w:ascii="Arial" w:eastAsia="Arial" w:hAnsi="Arial" w:cs="Arial"/>
          <w:sz w:val="22"/>
          <w:szCs w:val="22"/>
        </w:rPr>
      </w:pPr>
      <w:r w:rsidRPr="31385132">
        <w:rPr>
          <w:rStyle w:val="eop"/>
          <w:rFonts w:ascii="Arial" w:eastAsia="Arial" w:hAnsi="Arial" w:cs="Arial"/>
          <w:sz w:val="22"/>
          <w:szCs w:val="22"/>
        </w:rPr>
        <w:t xml:space="preserve">The </w:t>
      </w:r>
      <w:r w:rsidR="000E1669">
        <w:rPr>
          <w:rStyle w:val="eop"/>
          <w:rFonts w:ascii="Arial" w:eastAsia="Arial" w:hAnsi="Arial" w:cs="Arial"/>
          <w:sz w:val="22"/>
          <w:szCs w:val="22"/>
        </w:rPr>
        <w:t>NSTA</w:t>
      </w:r>
      <w:r w:rsidRPr="31385132">
        <w:rPr>
          <w:rStyle w:val="eop"/>
          <w:rFonts w:ascii="Arial" w:eastAsia="Arial" w:hAnsi="Arial" w:cs="Arial"/>
          <w:sz w:val="22"/>
          <w:szCs w:val="22"/>
        </w:rPr>
        <w:t xml:space="preserve"> ESG Taskforce</w:t>
      </w:r>
      <w:r w:rsidR="79E5D1D8" w:rsidRPr="31385132">
        <w:rPr>
          <w:rStyle w:val="eop"/>
          <w:rFonts w:ascii="Arial" w:eastAsia="Arial" w:hAnsi="Arial" w:cs="Arial"/>
          <w:sz w:val="22"/>
          <w:szCs w:val="22"/>
        </w:rPr>
        <w:t xml:space="preserve"> (“the Taskforce”)</w:t>
      </w:r>
      <w:r w:rsidRPr="31385132">
        <w:rPr>
          <w:rStyle w:val="eop"/>
          <w:rFonts w:ascii="Arial" w:eastAsia="Arial" w:hAnsi="Arial" w:cs="Arial"/>
          <w:sz w:val="22"/>
          <w:szCs w:val="22"/>
        </w:rPr>
        <w:t xml:space="preserve"> was established in September</w:t>
      </w:r>
      <w:r w:rsidR="1767309B" w:rsidRPr="31385132">
        <w:rPr>
          <w:rStyle w:val="eop"/>
          <w:rFonts w:ascii="Arial" w:eastAsia="Arial" w:hAnsi="Arial" w:cs="Arial"/>
          <w:sz w:val="22"/>
          <w:szCs w:val="22"/>
        </w:rPr>
        <w:t xml:space="preserve"> 2020 </w:t>
      </w:r>
      <w:r w:rsidR="62551072" w:rsidRPr="31385132">
        <w:rPr>
          <w:rStyle w:val="eop"/>
          <w:rFonts w:ascii="Arial" w:eastAsia="Arial" w:hAnsi="Arial" w:cs="Arial"/>
          <w:sz w:val="22"/>
          <w:szCs w:val="22"/>
        </w:rPr>
        <w:t>to as</w:t>
      </w:r>
      <w:r w:rsidR="1767309B" w:rsidRPr="31385132">
        <w:rPr>
          <w:rStyle w:val="eop"/>
          <w:rFonts w:ascii="Arial" w:eastAsia="Arial" w:hAnsi="Arial" w:cs="Arial"/>
          <w:sz w:val="22"/>
          <w:szCs w:val="22"/>
        </w:rPr>
        <w:t xml:space="preserve">sist in </w:t>
      </w:r>
      <w:r w:rsidR="64FD0CF5" w:rsidRPr="31385132">
        <w:rPr>
          <w:rStyle w:val="eop"/>
          <w:rFonts w:ascii="Arial" w:eastAsia="Arial" w:hAnsi="Arial" w:cs="Arial"/>
          <w:sz w:val="22"/>
          <w:szCs w:val="22"/>
        </w:rPr>
        <w:t>promot</w:t>
      </w:r>
      <w:r w:rsidR="1767309B" w:rsidRPr="31385132">
        <w:rPr>
          <w:rStyle w:val="eop"/>
          <w:rFonts w:ascii="Arial" w:eastAsia="Arial" w:hAnsi="Arial" w:cs="Arial"/>
          <w:sz w:val="22"/>
          <w:szCs w:val="22"/>
        </w:rPr>
        <w:t>ing</w:t>
      </w:r>
      <w:r w:rsidR="7AC6B503" w:rsidRPr="31385132">
        <w:rPr>
          <w:rStyle w:val="eop"/>
          <w:rFonts w:ascii="Arial" w:eastAsia="Arial" w:hAnsi="Arial" w:cs="Arial"/>
          <w:sz w:val="22"/>
          <w:szCs w:val="22"/>
        </w:rPr>
        <w:t xml:space="preserve"> enhanced ESG disclosure through</w:t>
      </w:r>
      <w:r w:rsidR="1767309B" w:rsidRPr="31385132">
        <w:rPr>
          <w:rStyle w:val="eop"/>
          <w:rFonts w:ascii="Arial" w:eastAsia="Arial" w:hAnsi="Arial" w:cs="Arial"/>
          <w:sz w:val="22"/>
          <w:szCs w:val="22"/>
        </w:rPr>
        <w:t xml:space="preserve"> the delivery of manageable, repeatable and achievable </w:t>
      </w:r>
      <w:r w:rsidR="6125836D" w:rsidRPr="31385132">
        <w:rPr>
          <w:rStyle w:val="eop"/>
          <w:rFonts w:ascii="Arial" w:eastAsia="Arial" w:hAnsi="Arial" w:cs="Arial"/>
          <w:sz w:val="22"/>
          <w:szCs w:val="22"/>
        </w:rPr>
        <w:t>metrics.</w:t>
      </w:r>
      <w:r w:rsidR="1767309B" w:rsidRPr="31385132">
        <w:rPr>
          <w:rStyle w:val="eop"/>
          <w:rFonts w:ascii="Arial" w:eastAsia="Arial" w:hAnsi="Arial" w:cs="Arial"/>
          <w:sz w:val="22"/>
          <w:szCs w:val="22"/>
        </w:rPr>
        <w:t xml:space="preserve"> </w:t>
      </w:r>
    </w:p>
    <w:p w14:paraId="03CA9B9B" w14:textId="2FC4E50C" w:rsidR="00CA594C" w:rsidRDefault="00CA594C" w:rsidP="00280473">
      <w:pPr>
        <w:pStyle w:val="paragraph"/>
        <w:spacing w:before="0" w:beforeAutospacing="0" w:after="240" w:afterAutospacing="0"/>
        <w:jc w:val="both"/>
        <w:textAlignment w:val="baseline"/>
        <w:rPr>
          <w:rStyle w:val="eop"/>
          <w:rFonts w:ascii="Arial" w:eastAsia="Arial" w:hAnsi="Arial" w:cs="Arial"/>
          <w:sz w:val="22"/>
          <w:szCs w:val="22"/>
        </w:rPr>
      </w:pPr>
      <w:r>
        <w:rPr>
          <w:rStyle w:val="eop"/>
          <w:rFonts w:ascii="Arial" w:eastAsia="Arial" w:hAnsi="Arial" w:cs="Arial"/>
          <w:sz w:val="22"/>
          <w:szCs w:val="22"/>
        </w:rPr>
        <w:t>Its key objective was</w:t>
      </w:r>
      <w:r w:rsidR="00786E39">
        <w:rPr>
          <w:rStyle w:val="eop"/>
          <w:rFonts w:ascii="Arial" w:eastAsia="Arial" w:hAnsi="Arial" w:cs="Arial"/>
          <w:sz w:val="22"/>
          <w:szCs w:val="22"/>
        </w:rPr>
        <w:t>, and remains</w:t>
      </w:r>
      <w:r w:rsidR="00E55AFC">
        <w:rPr>
          <w:rStyle w:val="eop"/>
          <w:rFonts w:ascii="Arial" w:eastAsia="Arial" w:hAnsi="Arial" w:cs="Arial"/>
          <w:sz w:val="22"/>
          <w:szCs w:val="22"/>
        </w:rPr>
        <w:t>,</w:t>
      </w:r>
      <w:r>
        <w:rPr>
          <w:rStyle w:val="eop"/>
          <w:rFonts w:ascii="Arial" w:eastAsia="Arial" w:hAnsi="Arial" w:cs="Arial"/>
          <w:sz w:val="22"/>
          <w:szCs w:val="22"/>
        </w:rPr>
        <w:t xml:space="preserve"> t</w:t>
      </w:r>
      <w:r w:rsidR="00BF6733">
        <w:rPr>
          <w:rStyle w:val="eop"/>
          <w:rFonts w:ascii="Arial" w:eastAsia="Arial" w:hAnsi="Arial" w:cs="Arial"/>
          <w:sz w:val="22"/>
          <w:szCs w:val="22"/>
        </w:rPr>
        <w:t>o deliver recommendations and advice to ensure continued investor confidence and access to capital.</w:t>
      </w:r>
      <w:r w:rsidR="00E55AFC">
        <w:rPr>
          <w:rStyle w:val="eop"/>
          <w:rFonts w:ascii="Arial" w:eastAsia="Arial" w:hAnsi="Arial" w:cs="Arial"/>
          <w:sz w:val="22"/>
          <w:szCs w:val="22"/>
        </w:rPr>
        <w:t xml:space="preserve"> </w:t>
      </w:r>
    </w:p>
    <w:p w14:paraId="79738148" w14:textId="77777777" w:rsidR="00A06045" w:rsidRDefault="00C0417C" w:rsidP="00280473">
      <w:pPr>
        <w:pStyle w:val="paragraph"/>
        <w:spacing w:before="0" w:beforeAutospacing="0" w:after="240" w:afterAutospacing="0"/>
        <w:jc w:val="both"/>
        <w:textAlignment w:val="baseline"/>
        <w:rPr>
          <w:rStyle w:val="eop"/>
          <w:rFonts w:ascii="Arial" w:eastAsia="Arial" w:hAnsi="Arial" w:cs="Arial"/>
          <w:sz w:val="22"/>
          <w:szCs w:val="22"/>
        </w:rPr>
      </w:pPr>
      <w:r w:rsidRPr="31385132">
        <w:rPr>
          <w:rStyle w:val="eop"/>
          <w:rFonts w:ascii="Arial" w:eastAsia="Arial" w:hAnsi="Arial" w:cs="Arial"/>
          <w:sz w:val="22"/>
          <w:szCs w:val="22"/>
        </w:rPr>
        <w:t>The Taskforce</w:t>
      </w:r>
      <w:r>
        <w:rPr>
          <w:rStyle w:val="eop"/>
          <w:rFonts w:ascii="Arial" w:eastAsia="Arial" w:hAnsi="Arial" w:cs="Arial"/>
          <w:sz w:val="22"/>
          <w:szCs w:val="22"/>
        </w:rPr>
        <w:t xml:space="preserve"> is</w:t>
      </w:r>
      <w:r w:rsidR="56CDAAD6" w:rsidRPr="31385132">
        <w:rPr>
          <w:rStyle w:val="eop"/>
          <w:rFonts w:ascii="Arial" w:eastAsia="Arial" w:hAnsi="Arial" w:cs="Arial"/>
          <w:sz w:val="22"/>
          <w:szCs w:val="22"/>
        </w:rPr>
        <w:t xml:space="preserve"> made up of </w:t>
      </w:r>
      <w:r w:rsidR="0F28277F" w:rsidRPr="31385132">
        <w:rPr>
          <w:rStyle w:val="eop"/>
          <w:rFonts w:ascii="Arial" w:eastAsia="Arial" w:hAnsi="Arial" w:cs="Arial"/>
          <w:sz w:val="22"/>
          <w:szCs w:val="22"/>
        </w:rPr>
        <w:t xml:space="preserve">operators and licensees </w:t>
      </w:r>
      <w:r w:rsidR="56CDAAD6" w:rsidRPr="31385132">
        <w:rPr>
          <w:rStyle w:val="eop"/>
          <w:rFonts w:ascii="Arial" w:eastAsia="Arial" w:hAnsi="Arial" w:cs="Arial"/>
          <w:sz w:val="22"/>
          <w:szCs w:val="22"/>
        </w:rPr>
        <w:t>and investor</w:t>
      </w:r>
      <w:r w:rsidR="7C789674" w:rsidRPr="31385132">
        <w:rPr>
          <w:rStyle w:val="eop"/>
          <w:rFonts w:ascii="Arial" w:eastAsia="Arial" w:hAnsi="Arial" w:cs="Arial"/>
          <w:sz w:val="22"/>
          <w:szCs w:val="22"/>
        </w:rPr>
        <w:t>/lender</w:t>
      </w:r>
      <w:r w:rsidR="56CDAAD6" w:rsidRPr="31385132">
        <w:rPr>
          <w:rStyle w:val="eop"/>
          <w:rFonts w:ascii="Arial" w:eastAsia="Arial" w:hAnsi="Arial" w:cs="Arial"/>
          <w:sz w:val="22"/>
          <w:szCs w:val="22"/>
        </w:rPr>
        <w:t xml:space="preserve"> representatives as w</w:t>
      </w:r>
      <w:r w:rsidR="3C17EB29" w:rsidRPr="31385132">
        <w:rPr>
          <w:rStyle w:val="eop"/>
          <w:rFonts w:ascii="Arial" w:eastAsia="Arial" w:hAnsi="Arial" w:cs="Arial"/>
          <w:sz w:val="22"/>
          <w:szCs w:val="22"/>
        </w:rPr>
        <w:t>ell as two law firms</w:t>
      </w:r>
      <w:r w:rsidR="6F6FC11F" w:rsidRPr="31385132">
        <w:rPr>
          <w:rStyle w:val="eop"/>
          <w:rFonts w:ascii="Arial" w:eastAsia="Arial" w:hAnsi="Arial" w:cs="Arial"/>
          <w:sz w:val="22"/>
          <w:szCs w:val="22"/>
        </w:rPr>
        <w:t xml:space="preserve"> and OGUK</w:t>
      </w:r>
      <w:r>
        <w:rPr>
          <w:rStyle w:val="eop"/>
          <w:rFonts w:ascii="Arial" w:eastAsia="Arial" w:hAnsi="Arial" w:cs="Arial"/>
          <w:sz w:val="22"/>
          <w:szCs w:val="22"/>
        </w:rPr>
        <w:t>.</w:t>
      </w:r>
    </w:p>
    <w:p w14:paraId="26F2ABCE" w14:textId="77777777" w:rsidR="00A06045" w:rsidRPr="000C1EDB" w:rsidRDefault="00A06045" w:rsidP="00280473">
      <w:pPr>
        <w:pStyle w:val="paragraph"/>
        <w:spacing w:before="240" w:after="120"/>
        <w:jc w:val="both"/>
        <w:rPr>
          <w:rStyle w:val="eop"/>
          <w:rFonts w:ascii="Arial" w:eastAsia="Arial" w:hAnsi="Arial" w:cs="Arial"/>
          <w:sz w:val="22"/>
          <w:szCs w:val="22"/>
        </w:rPr>
      </w:pPr>
      <w:r w:rsidRPr="000C1EDB">
        <w:rPr>
          <w:rStyle w:val="eop"/>
          <w:rFonts w:ascii="Arial" w:eastAsia="Arial" w:hAnsi="Arial" w:cs="Arial"/>
          <w:sz w:val="22"/>
          <w:szCs w:val="22"/>
        </w:rPr>
        <w:t xml:space="preserve">The Taskforce does not seek to duplicate policy, regulatory or legislative requirements, but seeks to promote best practice, influence better practice, support industry in its ESG reporting and secure continued access to capital and investor confidence. </w:t>
      </w:r>
    </w:p>
    <w:p w14:paraId="46B5C0BF" w14:textId="77777777" w:rsidR="00A06045" w:rsidRPr="000C1EDB" w:rsidRDefault="00A06045" w:rsidP="00280473">
      <w:pPr>
        <w:pStyle w:val="paragraph"/>
        <w:spacing w:before="240" w:after="120"/>
        <w:jc w:val="both"/>
        <w:rPr>
          <w:rStyle w:val="eop"/>
          <w:rFonts w:ascii="Arial" w:eastAsia="Arial" w:hAnsi="Arial" w:cs="Arial"/>
          <w:sz w:val="22"/>
          <w:szCs w:val="22"/>
        </w:rPr>
      </w:pPr>
      <w:r w:rsidRPr="000C1EDB">
        <w:rPr>
          <w:rStyle w:val="eop"/>
          <w:rFonts w:ascii="Arial" w:eastAsia="Arial" w:hAnsi="Arial" w:cs="Arial"/>
          <w:sz w:val="22"/>
          <w:szCs w:val="22"/>
        </w:rPr>
        <w:t xml:space="preserve">The Taskforce will work with other regulators and relevant bodies to promote the importance of ESG for investors and support calls for clarity in data and reporting. The NSTA will ensure that the Taskforce remains relevant, useful, on topic and is sufficiently impactful. </w:t>
      </w:r>
    </w:p>
    <w:p w14:paraId="0079A32A" w14:textId="16A79057" w:rsidR="00912321" w:rsidRDefault="00C0417C" w:rsidP="00280473">
      <w:pPr>
        <w:pStyle w:val="paragraph"/>
        <w:spacing w:before="0" w:beforeAutospacing="0" w:after="240" w:afterAutospacing="0"/>
        <w:jc w:val="both"/>
        <w:textAlignment w:val="baseline"/>
        <w:rPr>
          <w:rStyle w:val="eop"/>
          <w:rFonts w:ascii="Arial" w:eastAsia="Arial" w:hAnsi="Arial" w:cs="Arial"/>
          <w:sz w:val="22"/>
          <w:szCs w:val="22"/>
        </w:rPr>
      </w:pPr>
      <w:r>
        <w:rPr>
          <w:rStyle w:val="eop"/>
          <w:rFonts w:ascii="Arial" w:eastAsia="Arial" w:hAnsi="Arial" w:cs="Arial"/>
          <w:sz w:val="22"/>
          <w:szCs w:val="22"/>
        </w:rPr>
        <w:t>It</w:t>
      </w:r>
      <w:r w:rsidR="00607BCE">
        <w:rPr>
          <w:rStyle w:val="eop"/>
          <w:rFonts w:ascii="Arial" w:eastAsia="Arial" w:hAnsi="Arial" w:cs="Arial"/>
          <w:sz w:val="22"/>
          <w:szCs w:val="22"/>
        </w:rPr>
        <w:t xml:space="preserve"> originally</w:t>
      </w:r>
      <w:r w:rsidR="75743D78" w:rsidRPr="31385132">
        <w:rPr>
          <w:rStyle w:val="eop"/>
          <w:rFonts w:ascii="Arial" w:eastAsia="Arial" w:hAnsi="Arial" w:cs="Arial"/>
          <w:sz w:val="22"/>
          <w:szCs w:val="22"/>
        </w:rPr>
        <w:t xml:space="preserve"> </w:t>
      </w:r>
      <w:r w:rsidR="00C26145" w:rsidRPr="31385132">
        <w:rPr>
          <w:rStyle w:val="eop"/>
          <w:rFonts w:ascii="Arial" w:eastAsia="Arial" w:hAnsi="Arial" w:cs="Arial"/>
          <w:sz w:val="22"/>
          <w:szCs w:val="22"/>
        </w:rPr>
        <w:t>focused on the ‘E’ of ESG</w:t>
      </w:r>
      <w:r>
        <w:rPr>
          <w:rStyle w:val="eop"/>
          <w:rFonts w:ascii="Arial" w:eastAsia="Arial" w:hAnsi="Arial" w:cs="Arial"/>
          <w:sz w:val="22"/>
          <w:szCs w:val="22"/>
        </w:rPr>
        <w:t xml:space="preserve"> and</w:t>
      </w:r>
      <w:r w:rsidR="00C26145" w:rsidRPr="31385132">
        <w:rPr>
          <w:rStyle w:val="eop"/>
          <w:rFonts w:ascii="Arial" w:eastAsia="Arial" w:hAnsi="Arial" w:cs="Arial"/>
          <w:sz w:val="22"/>
          <w:szCs w:val="22"/>
        </w:rPr>
        <w:t xml:space="preserve"> </w:t>
      </w:r>
      <w:r w:rsidR="4C71052A" w:rsidRPr="31385132">
        <w:rPr>
          <w:rStyle w:val="eop"/>
          <w:rFonts w:ascii="Arial" w:eastAsia="Arial" w:hAnsi="Arial" w:cs="Arial"/>
          <w:sz w:val="22"/>
          <w:szCs w:val="22"/>
        </w:rPr>
        <w:t>consider</w:t>
      </w:r>
      <w:r w:rsidR="004153B8">
        <w:rPr>
          <w:rStyle w:val="eop"/>
          <w:rFonts w:ascii="Arial" w:eastAsia="Arial" w:hAnsi="Arial" w:cs="Arial"/>
          <w:sz w:val="22"/>
          <w:szCs w:val="22"/>
        </w:rPr>
        <w:t>ed</w:t>
      </w:r>
      <w:r w:rsidR="4C71052A" w:rsidRPr="31385132">
        <w:rPr>
          <w:rStyle w:val="eop"/>
          <w:rFonts w:ascii="Arial" w:eastAsia="Arial" w:hAnsi="Arial" w:cs="Arial"/>
          <w:sz w:val="22"/>
          <w:szCs w:val="22"/>
        </w:rPr>
        <w:t xml:space="preserve"> </w:t>
      </w:r>
      <w:r>
        <w:rPr>
          <w:rStyle w:val="eop"/>
          <w:rFonts w:ascii="Arial" w:eastAsia="Arial" w:hAnsi="Arial" w:cs="Arial"/>
          <w:sz w:val="22"/>
          <w:szCs w:val="22"/>
        </w:rPr>
        <w:t xml:space="preserve">environmental </w:t>
      </w:r>
      <w:r w:rsidR="00C26145" w:rsidRPr="31385132">
        <w:rPr>
          <w:rStyle w:val="eop"/>
          <w:rFonts w:ascii="Arial" w:eastAsia="Arial" w:hAnsi="Arial" w:cs="Arial"/>
          <w:sz w:val="22"/>
          <w:szCs w:val="22"/>
        </w:rPr>
        <w:t xml:space="preserve">metrics that </w:t>
      </w:r>
      <w:r w:rsidR="00607BCE">
        <w:rPr>
          <w:rStyle w:val="eop"/>
          <w:rFonts w:ascii="Arial" w:eastAsia="Arial" w:hAnsi="Arial" w:cs="Arial"/>
          <w:sz w:val="22"/>
          <w:szCs w:val="22"/>
        </w:rPr>
        <w:t>would serve to be</w:t>
      </w:r>
      <w:r w:rsidR="00C26145" w:rsidRPr="31385132">
        <w:rPr>
          <w:rStyle w:val="eop"/>
          <w:rFonts w:ascii="Arial" w:eastAsia="Arial" w:hAnsi="Arial" w:cs="Arial"/>
          <w:sz w:val="22"/>
          <w:szCs w:val="22"/>
        </w:rPr>
        <w:t xml:space="preserve"> manageable, repeatable, and comparable for industry and investors</w:t>
      </w:r>
      <w:r w:rsidR="73E40E5B" w:rsidRPr="31385132">
        <w:rPr>
          <w:rStyle w:val="eop"/>
          <w:rFonts w:ascii="Arial" w:eastAsia="Arial" w:hAnsi="Arial" w:cs="Arial"/>
          <w:sz w:val="22"/>
          <w:szCs w:val="22"/>
        </w:rPr>
        <w:t>/lenders</w:t>
      </w:r>
      <w:r w:rsidR="00C26145" w:rsidRPr="31385132">
        <w:rPr>
          <w:rStyle w:val="eop"/>
          <w:rFonts w:ascii="Arial" w:eastAsia="Arial" w:hAnsi="Arial" w:cs="Arial"/>
          <w:sz w:val="22"/>
          <w:szCs w:val="22"/>
        </w:rPr>
        <w:t>.</w:t>
      </w:r>
      <w:r w:rsidR="00126277">
        <w:rPr>
          <w:rStyle w:val="eop"/>
          <w:rFonts w:ascii="Arial" w:eastAsia="Arial" w:hAnsi="Arial" w:cs="Arial"/>
          <w:sz w:val="22"/>
          <w:szCs w:val="22"/>
        </w:rPr>
        <w:t xml:space="preserve"> </w:t>
      </w:r>
      <w:r w:rsidR="00123387">
        <w:rPr>
          <w:rStyle w:val="eop"/>
          <w:rFonts w:ascii="Arial" w:eastAsia="Arial" w:hAnsi="Arial" w:cs="Arial"/>
          <w:sz w:val="22"/>
          <w:szCs w:val="22"/>
        </w:rPr>
        <w:t>The</w:t>
      </w:r>
      <w:r w:rsidR="00A16204">
        <w:rPr>
          <w:rStyle w:val="eop"/>
          <w:rFonts w:ascii="Arial" w:eastAsia="Arial" w:hAnsi="Arial" w:cs="Arial"/>
          <w:sz w:val="22"/>
          <w:szCs w:val="22"/>
        </w:rPr>
        <w:t>se</w:t>
      </w:r>
      <w:r w:rsidR="00123387">
        <w:rPr>
          <w:rStyle w:val="eop"/>
          <w:rFonts w:ascii="Arial" w:eastAsia="Arial" w:hAnsi="Arial" w:cs="Arial"/>
          <w:sz w:val="22"/>
          <w:szCs w:val="22"/>
        </w:rPr>
        <w:t xml:space="preserve"> metrics were </w:t>
      </w:r>
      <w:r w:rsidR="00A16204">
        <w:rPr>
          <w:rStyle w:val="eop"/>
          <w:rFonts w:ascii="Arial" w:eastAsia="Arial" w:hAnsi="Arial" w:cs="Arial"/>
          <w:sz w:val="22"/>
          <w:szCs w:val="22"/>
        </w:rPr>
        <w:t xml:space="preserve">agreed </w:t>
      </w:r>
      <w:r w:rsidR="00123387">
        <w:rPr>
          <w:rStyle w:val="eop"/>
          <w:rFonts w:ascii="Arial" w:eastAsia="Arial" w:hAnsi="Arial" w:cs="Arial"/>
          <w:sz w:val="22"/>
          <w:szCs w:val="22"/>
        </w:rPr>
        <w:t>to be</w:t>
      </w:r>
      <w:r w:rsidR="1E3CB74B" w:rsidRPr="31385132">
        <w:rPr>
          <w:rStyle w:val="eop"/>
          <w:rFonts w:ascii="Arial" w:eastAsia="Arial" w:hAnsi="Arial" w:cs="Arial"/>
          <w:sz w:val="22"/>
          <w:szCs w:val="22"/>
        </w:rPr>
        <w:t xml:space="preserve"> of key importance to lenders and </w:t>
      </w:r>
      <w:r w:rsidR="00A16204" w:rsidRPr="31385132">
        <w:rPr>
          <w:rStyle w:val="eop"/>
          <w:rFonts w:ascii="Arial" w:eastAsia="Arial" w:hAnsi="Arial" w:cs="Arial"/>
          <w:sz w:val="22"/>
          <w:szCs w:val="22"/>
        </w:rPr>
        <w:t>investors and</w:t>
      </w:r>
      <w:r w:rsidR="1E3CB74B" w:rsidRPr="31385132">
        <w:rPr>
          <w:rStyle w:val="eop"/>
          <w:rFonts w:ascii="Arial" w:eastAsia="Arial" w:hAnsi="Arial" w:cs="Arial"/>
          <w:sz w:val="22"/>
          <w:szCs w:val="22"/>
        </w:rPr>
        <w:t xml:space="preserve"> </w:t>
      </w:r>
      <w:r w:rsidR="27B35868" w:rsidRPr="31385132">
        <w:rPr>
          <w:rStyle w:val="eop"/>
          <w:rFonts w:ascii="Arial" w:eastAsia="Arial" w:hAnsi="Arial" w:cs="Arial"/>
          <w:sz w:val="22"/>
          <w:szCs w:val="22"/>
        </w:rPr>
        <w:t>could easily be</w:t>
      </w:r>
      <w:r w:rsidR="1E3CB74B" w:rsidRPr="31385132">
        <w:rPr>
          <w:rStyle w:val="eop"/>
          <w:rFonts w:ascii="Arial" w:eastAsia="Arial" w:hAnsi="Arial" w:cs="Arial"/>
          <w:sz w:val="22"/>
          <w:szCs w:val="22"/>
        </w:rPr>
        <w:t xml:space="preserve"> reported by all </w:t>
      </w:r>
      <w:r w:rsidR="067801BF" w:rsidRPr="31385132">
        <w:rPr>
          <w:rStyle w:val="eop"/>
          <w:rFonts w:ascii="Arial" w:eastAsia="Arial" w:hAnsi="Arial" w:cs="Arial"/>
          <w:sz w:val="22"/>
          <w:szCs w:val="22"/>
        </w:rPr>
        <w:t>O</w:t>
      </w:r>
      <w:r w:rsidR="1E3CB74B" w:rsidRPr="31385132">
        <w:rPr>
          <w:rStyle w:val="eop"/>
          <w:rFonts w:ascii="Arial" w:eastAsia="Arial" w:hAnsi="Arial" w:cs="Arial"/>
          <w:sz w:val="22"/>
          <w:szCs w:val="22"/>
        </w:rPr>
        <w:t>perators and licensees</w:t>
      </w:r>
      <w:r w:rsidR="00A16204">
        <w:rPr>
          <w:rStyle w:val="eop"/>
          <w:rFonts w:ascii="Arial" w:eastAsia="Arial" w:hAnsi="Arial" w:cs="Arial"/>
          <w:sz w:val="22"/>
          <w:szCs w:val="22"/>
        </w:rPr>
        <w:t>.</w:t>
      </w:r>
      <w:r w:rsidR="1E3CB74B" w:rsidRPr="31385132">
        <w:rPr>
          <w:rStyle w:val="eop"/>
          <w:rFonts w:ascii="Arial" w:eastAsia="Arial" w:hAnsi="Arial" w:cs="Arial"/>
          <w:sz w:val="22"/>
          <w:szCs w:val="22"/>
        </w:rPr>
        <w:t xml:space="preserve"> </w:t>
      </w:r>
    </w:p>
    <w:p w14:paraId="7C8BA12A" w14:textId="3659685D" w:rsidR="00912321" w:rsidRDefault="4DE974F5" w:rsidP="00280473">
      <w:pPr>
        <w:pStyle w:val="paragraph"/>
        <w:spacing w:before="120" w:beforeAutospacing="0" w:after="120" w:afterAutospacing="0"/>
        <w:jc w:val="both"/>
        <w:rPr>
          <w:rStyle w:val="eop"/>
          <w:rFonts w:ascii="Arial" w:eastAsia="Arial" w:hAnsi="Arial" w:cs="Arial"/>
          <w:sz w:val="22"/>
          <w:szCs w:val="22"/>
        </w:rPr>
      </w:pPr>
      <w:r w:rsidRPr="31385132">
        <w:rPr>
          <w:rStyle w:val="eop"/>
          <w:rFonts w:ascii="Arial" w:eastAsia="Arial" w:hAnsi="Arial" w:cs="Arial"/>
          <w:sz w:val="22"/>
          <w:szCs w:val="22"/>
        </w:rPr>
        <w:t>The Taskforce published</w:t>
      </w:r>
      <w:r w:rsidR="00BC0439" w:rsidRPr="31385132">
        <w:rPr>
          <w:rStyle w:val="eop"/>
          <w:rFonts w:ascii="Arial" w:eastAsia="Arial" w:hAnsi="Arial" w:cs="Arial"/>
          <w:sz w:val="22"/>
          <w:szCs w:val="22"/>
        </w:rPr>
        <w:t xml:space="preserve"> </w:t>
      </w:r>
      <w:r w:rsidR="00204408">
        <w:rPr>
          <w:rStyle w:val="eop"/>
          <w:rFonts w:ascii="Arial" w:eastAsia="Arial" w:hAnsi="Arial" w:cs="Arial"/>
          <w:sz w:val="22"/>
          <w:szCs w:val="22"/>
        </w:rPr>
        <w:t>a set of</w:t>
      </w:r>
      <w:r w:rsidR="00BC0439" w:rsidRPr="31385132">
        <w:rPr>
          <w:rStyle w:val="eop"/>
          <w:rFonts w:ascii="Arial" w:eastAsia="Arial" w:hAnsi="Arial" w:cs="Arial"/>
          <w:sz w:val="22"/>
          <w:szCs w:val="22"/>
        </w:rPr>
        <w:t xml:space="preserve"> recommendations</w:t>
      </w:r>
      <w:r w:rsidRPr="31385132">
        <w:rPr>
          <w:rStyle w:val="eop"/>
          <w:rFonts w:ascii="Arial" w:eastAsia="Arial" w:hAnsi="Arial" w:cs="Arial"/>
          <w:sz w:val="22"/>
          <w:szCs w:val="22"/>
        </w:rPr>
        <w:t xml:space="preserve"> in March 2021, </w:t>
      </w:r>
      <w:r w:rsidR="196CA8C6" w:rsidRPr="31385132">
        <w:rPr>
          <w:rStyle w:val="eop"/>
          <w:rFonts w:ascii="Arial" w:eastAsia="Arial" w:hAnsi="Arial" w:cs="Arial"/>
          <w:sz w:val="22"/>
          <w:szCs w:val="22"/>
        </w:rPr>
        <w:t xml:space="preserve">outlining </w:t>
      </w:r>
      <w:r w:rsidRPr="31385132">
        <w:rPr>
          <w:rStyle w:val="eop"/>
          <w:rFonts w:ascii="Arial" w:eastAsia="Arial" w:hAnsi="Arial" w:cs="Arial"/>
          <w:sz w:val="22"/>
          <w:szCs w:val="22"/>
        </w:rPr>
        <w:t>optimal ESG reporting alongside several key indicators</w:t>
      </w:r>
      <w:r w:rsidR="33A27DF2" w:rsidRPr="31385132">
        <w:rPr>
          <w:rStyle w:val="eop"/>
          <w:rFonts w:ascii="Arial" w:eastAsia="Arial" w:hAnsi="Arial" w:cs="Arial"/>
          <w:sz w:val="22"/>
          <w:szCs w:val="22"/>
        </w:rPr>
        <w:t xml:space="preserve">. </w:t>
      </w:r>
      <w:r w:rsidRPr="31385132">
        <w:rPr>
          <w:rStyle w:val="eop"/>
          <w:rFonts w:ascii="Arial" w:eastAsia="Arial" w:hAnsi="Arial" w:cs="Arial"/>
          <w:sz w:val="22"/>
          <w:szCs w:val="22"/>
        </w:rPr>
        <w:t xml:space="preserve"> </w:t>
      </w:r>
      <w:r w:rsidR="7C8F4A84" w:rsidRPr="31385132">
        <w:rPr>
          <w:rStyle w:val="eop"/>
          <w:rFonts w:ascii="Arial" w:eastAsia="Arial" w:hAnsi="Arial" w:cs="Arial"/>
          <w:sz w:val="22"/>
          <w:szCs w:val="22"/>
        </w:rPr>
        <w:t>Licensees and Op</w:t>
      </w:r>
      <w:r w:rsidRPr="31385132">
        <w:rPr>
          <w:rStyle w:val="eop"/>
          <w:rFonts w:ascii="Arial" w:eastAsia="Arial" w:hAnsi="Arial" w:cs="Arial"/>
          <w:sz w:val="22"/>
          <w:szCs w:val="22"/>
        </w:rPr>
        <w:t xml:space="preserve">erators </w:t>
      </w:r>
      <w:r w:rsidR="6A3D813D" w:rsidRPr="31385132">
        <w:rPr>
          <w:rStyle w:val="eop"/>
          <w:rFonts w:ascii="Arial" w:eastAsia="Arial" w:hAnsi="Arial" w:cs="Arial"/>
          <w:sz w:val="22"/>
          <w:szCs w:val="22"/>
        </w:rPr>
        <w:t xml:space="preserve">were </w:t>
      </w:r>
      <w:r w:rsidR="1A6FEE3F" w:rsidRPr="31385132">
        <w:rPr>
          <w:rStyle w:val="eop"/>
          <w:rFonts w:ascii="Arial" w:eastAsia="Arial" w:hAnsi="Arial" w:cs="Arial"/>
          <w:sz w:val="22"/>
          <w:szCs w:val="22"/>
        </w:rPr>
        <w:t xml:space="preserve">told that they were expected </w:t>
      </w:r>
      <w:r w:rsidR="6A3D813D" w:rsidRPr="31385132">
        <w:rPr>
          <w:rStyle w:val="eop"/>
          <w:rFonts w:ascii="Arial" w:eastAsia="Arial" w:hAnsi="Arial" w:cs="Arial"/>
          <w:sz w:val="22"/>
          <w:szCs w:val="22"/>
        </w:rPr>
        <w:t xml:space="preserve">to </w:t>
      </w:r>
      <w:r w:rsidRPr="31385132">
        <w:rPr>
          <w:rStyle w:val="eop"/>
          <w:rFonts w:ascii="Arial" w:eastAsia="Arial" w:hAnsi="Arial" w:cs="Arial"/>
          <w:sz w:val="22"/>
          <w:szCs w:val="22"/>
        </w:rPr>
        <w:t>be ready to report in Q1 22, alongside the publication of their 2021 full year audited financial reports financial reports.</w:t>
      </w:r>
    </w:p>
    <w:p w14:paraId="4D33709B" w14:textId="0501C7D2" w:rsidR="6D177E0F" w:rsidRPr="000C1EDB" w:rsidRDefault="7EFF4E15" w:rsidP="00280473">
      <w:pPr>
        <w:pStyle w:val="paragraph"/>
        <w:spacing w:before="240" w:beforeAutospacing="0" w:after="120" w:afterAutospacing="0"/>
        <w:jc w:val="both"/>
        <w:rPr>
          <w:rStyle w:val="normaltextrun"/>
        </w:rPr>
      </w:pPr>
      <w:r w:rsidRPr="31385132">
        <w:rPr>
          <w:rStyle w:val="normaltextrun"/>
          <w:rFonts w:ascii="Arial" w:hAnsi="Arial" w:cs="Arial"/>
          <w:b/>
          <w:bCs/>
        </w:rPr>
        <w:t>R</w:t>
      </w:r>
      <w:r w:rsidR="000C1EDB">
        <w:rPr>
          <w:rStyle w:val="normaltextrun"/>
          <w:rFonts w:ascii="Arial" w:hAnsi="Arial" w:cs="Arial"/>
          <w:b/>
          <w:bCs/>
        </w:rPr>
        <w:t>e</w:t>
      </w:r>
      <w:r w:rsidR="33CE9FCA" w:rsidRPr="31385132">
        <w:rPr>
          <w:rStyle w:val="normaltextrun"/>
          <w:rFonts w:ascii="Arial" w:hAnsi="Arial" w:cs="Arial"/>
          <w:b/>
          <w:bCs/>
        </w:rPr>
        <w:t>vised Scope</w:t>
      </w:r>
      <w:r w:rsidR="00FF3268">
        <w:rPr>
          <w:rStyle w:val="normaltextrun"/>
          <w:rFonts w:ascii="Arial" w:hAnsi="Arial" w:cs="Arial"/>
          <w:b/>
          <w:bCs/>
        </w:rPr>
        <w:t xml:space="preserve"> 2022</w:t>
      </w:r>
    </w:p>
    <w:p w14:paraId="795D2CAD" w14:textId="3A8C7F21" w:rsidR="172CD287" w:rsidRDefault="172CD287" w:rsidP="00280473">
      <w:pPr>
        <w:pStyle w:val="paragraph"/>
        <w:spacing w:before="240" w:beforeAutospacing="0" w:after="120" w:afterAutospacing="0"/>
        <w:jc w:val="both"/>
        <w:rPr>
          <w:rStyle w:val="eop"/>
          <w:rFonts w:ascii="Arial" w:eastAsia="Arial" w:hAnsi="Arial" w:cs="Arial"/>
          <w:sz w:val="22"/>
          <w:szCs w:val="22"/>
        </w:rPr>
      </w:pPr>
      <w:r w:rsidRPr="31385132">
        <w:rPr>
          <w:rStyle w:val="eop"/>
          <w:rFonts w:ascii="Arial" w:eastAsia="Arial" w:hAnsi="Arial" w:cs="Arial"/>
          <w:sz w:val="22"/>
          <w:szCs w:val="22"/>
        </w:rPr>
        <w:t>There remain significant</w:t>
      </w:r>
      <w:r w:rsidR="6E846A41" w:rsidRPr="31385132">
        <w:rPr>
          <w:rStyle w:val="eop"/>
          <w:rFonts w:ascii="Arial" w:eastAsia="Arial" w:hAnsi="Arial" w:cs="Arial"/>
          <w:sz w:val="22"/>
          <w:szCs w:val="22"/>
        </w:rPr>
        <w:t xml:space="preserve"> challenges for </w:t>
      </w:r>
      <w:r w:rsidR="2AFC56A9" w:rsidRPr="31385132">
        <w:rPr>
          <w:rStyle w:val="eop"/>
          <w:rFonts w:ascii="Arial" w:eastAsia="Arial" w:hAnsi="Arial" w:cs="Arial"/>
          <w:sz w:val="22"/>
          <w:szCs w:val="22"/>
        </w:rPr>
        <w:t>industry and investors</w:t>
      </w:r>
      <w:r w:rsidR="6E846A41" w:rsidRPr="31385132">
        <w:rPr>
          <w:rStyle w:val="eop"/>
          <w:rFonts w:ascii="Arial" w:eastAsia="Arial" w:hAnsi="Arial" w:cs="Arial"/>
          <w:sz w:val="22"/>
          <w:szCs w:val="22"/>
        </w:rPr>
        <w:t xml:space="preserve">, </w:t>
      </w:r>
      <w:r w:rsidR="788D2852" w:rsidRPr="31385132">
        <w:rPr>
          <w:rStyle w:val="eop"/>
          <w:rFonts w:ascii="Arial" w:eastAsia="Arial" w:hAnsi="Arial" w:cs="Arial"/>
          <w:sz w:val="22"/>
          <w:szCs w:val="22"/>
        </w:rPr>
        <w:t>especially around how to h</w:t>
      </w:r>
      <w:r w:rsidR="6E846A41" w:rsidRPr="31385132">
        <w:rPr>
          <w:rStyle w:val="eop"/>
          <w:rFonts w:ascii="Arial" w:eastAsia="Arial" w:hAnsi="Arial" w:cs="Arial"/>
          <w:sz w:val="22"/>
          <w:szCs w:val="22"/>
        </w:rPr>
        <w:t>armonis</w:t>
      </w:r>
      <w:r w:rsidR="0E844488" w:rsidRPr="31385132">
        <w:rPr>
          <w:rStyle w:val="eop"/>
          <w:rFonts w:ascii="Arial" w:eastAsia="Arial" w:hAnsi="Arial" w:cs="Arial"/>
          <w:sz w:val="22"/>
          <w:szCs w:val="22"/>
        </w:rPr>
        <w:t xml:space="preserve">e </w:t>
      </w:r>
      <w:r w:rsidR="21564DD5" w:rsidRPr="31385132">
        <w:rPr>
          <w:rStyle w:val="eop"/>
          <w:rFonts w:ascii="Arial" w:eastAsia="Arial" w:hAnsi="Arial" w:cs="Arial"/>
          <w:sz w:val="22"/>
          <w:szCs w:val="22"/>
        </w:rPr>
        <w:t xml:space="preserve">and clarify </w:t>
      </w:r>
      <w:r w:rsidR="6E846A41" w:rsidRPr="31385132">
        <w:rPr>
          <w:rStyle w:val="eop"/>
          <w:rFonts w:ascii="Arial" w:eastAsia="Arial" w:hAnsi="Arial" w:cs="Arial"/>
          <w:sz w:val="22"/>
          <w:szCs w:val="22"/>
        </w:rPr>
        <w:t>ESG processes,</w:t>
      </w:r>
      <w:r w:rsidR="00F32AE9">
        <w:rPr>
          <w:rStyle w:val="eop"/>
          <w:rFonts w:ascii="Arial" w:eastAsia="Arial" w:hAnsi="Arial" w:cs="Arial"/>
          <w:sz w:val="22"/>
          <w:szCs w:val="22"/>
        </w:rPr>
        <w:t xml:space="preserve"> and </w:t>
      </w:r>
      <w:r w:rsidR="002567C8">
        <w:rPr>
          <w:rStyle w:val="eop"/>
          <w:rFonts w:ascii="Arial" w:eastAsia="Arial" w:hAnsi="Arial" w:cs="Arial"/>
          <w:sz w:val="22"/>
          <w:szCs w:val="22"/>
        </w:rPr>
        <w:t>mechanisms to enhance ESG</w:t>
      </w:r>
      <w:r w:rsidR="6E846A41" w:rsidRPr="31385132">
        <w:rPr>
          <w:rStyle w:val="eop"/>
          <w:rFonts w:ascii="Arial" w:eastAsia="Arial" w:hAnsi="Arial" w:cs="Arial"/>
          <w:sz w:val="22"/>
          <w:szCs w:val="22"/>
        </w:rPr>
        <w:t xml:space="preserve"> reporting &amp; </w:t>
      </w:r>
      <w:r w:rsidR="00265140">
        <w:rPr>
          <w:rStyle w:val="eop"/>
          <w:rFonts w:ascii="Arial" w:eastAsia="Arial" w:hAnsi="Arial" w:cs="Arial"/>
          <w:sz w:val="22"/>
          <w:szCs w:val="22"/>
        </w:rPr>
        <w:t xml:space="preserve">standardised </w:t>
      </w:r>
      <w:r w:rsidR="6E846A41" w:rsidRPr="31385132">
        <w:rPr>
          <w:rStyle w:val="eop"/>
          <w:rFonts w:ascii="Arial" w:eastAsia="Arial" w:hAnsi="Arial" w:cs="Arial"/>
          <w:sz w:val="22"/>
          <w:szCs w:val="22"/>
        </w:rPr>
        <w:t>metrics</w:t>
      </w:r>
      <w:r w:rsidR="5E535331" w:rsidRPr="31385132">
        <w:rPr>
          <w:rStyle w:val="eop"/>
          <w:rFonts w:ascii="Arial" w:eastAsia="Arial" w:hAnsi="Arial" w:cs="Arial"/>
          <w:sz w:val="22"/>
          <w:szCs w:val="22"/>
        </w:rPr>
        <w:t xml:space="preserve">. </w:t>
      </w:r>
      <w:r w:rsidR="0035106C">
        <w:rPr>
          <w:rStyle w:val="eop"/>
          <w:rFonts w:ascii="Arial" w:eastAsia="Arial" w:hAnsi="Arial" w:cs="Arial"/>
          <w:sz w:val="22"/>
          <w:szCs w:val="22"/>
        </w:rPr>
        <w:t xml:space="preserve">The Taskforce is committed to </w:t>
      </w:r>
      <w:r w:rsidR="00A14D0F">
        <w:rPr>
          <w:rStyle w:val="eop"/>
          <w:rFonts w:ascii="Arial" w:eastAsia="Arial" w:hAnsi="Arial" w:cs="Arial"/>
          <w:sz w:val="22"/>
          <w:szCs w:val="22"/>
        </w:rPr>
        <w:t>promot</w:t>
      </w:r>
      <w:r w:rsidR="005E2B61">
        <w:rPr>
          <w:rStyle w:val="eop"/>
          <w:rFonts w:ascii="Arial" w:eastAsia="Arial" w:hAnsi="Arial" w:cs="Arial"/>
          <w:sz w:val="22"/>
          <w:szCs w:val="22"/>
        </w:rPr>
        <w:t>e</w:t>
      </w:r>
      <w:r w:rsidR="00A14D0F">
        <w:rPr>
          <w:rStyle w:val="eop"/>
          <w:rFonts w:ascii="Arial" w:eastAsia="Arial" w:hAnsi="Arial" w:cs="Arial"/>
          <w:sz w:val="22"/>
          <w:szCs w:val="22"/>
        </w:rPr>
        <w:t xml:space="preserve"> the importance of ESG</w:t>
      </w:r>
      <w:r w:rsidR="00BD16BD">
        <w:rPr>
          <w:rStyle w:val="eop"/>
          <w:rFonts w:ascii="Arial" w:eastAsia="Arial" w:hAnsi="Arial" w:cs="Arial"/>
          <w:sz w:val="22"/>
          <w:szCs w:val="22"/>
        </w:rPr>
        <w:t>,</w:t>
      </w:r>
      <w:r w:rsidR="00A14D0F">
        <w:rPr>
          <w:rStyle w:val="eop"/>
          <w:rFonts w:ascii="Arial" w:eastAsia="Arial" w:hAnsi="Arial" w:cs="Arial"/>
          <w:sz w:val="22"/>
          <w:szCs w:val="22"/>
        </w:rPr>
        <w:t xml:space="preserve"> support clarity in all areas of ESG disclosure and reporting</w:t>
      </w:r>
      <w:r w:rsidR="00BD16BD">
        <w:rPr>
          <w:rStyle w:val="eop"/>
          <w:rFonts w:ascii="Arial" w:eastAsia="Arial" w:hAnsi="Arial" w:cs="Arial"/>
          <w:sz w:val="22"/>
          <w:szCs w:val="22"/>
        </w:rPr>
        <w:t xml:space="preserve"> and showcase ESG reporting as a UK exemplar to ensure continued investor confidence</w:t>
      </w:r>
      <w:r w:rsidR="00A14D0F">
        <w:rPr>
          <w:rStyle w:val="eop"/>
          <w:rFonts w:ascii="Arial" w:eastAsia="Arial" w:hAnsi="Arial" w:cs="Arial"/>
          <w:sz w:val="22"/>
          <w:szCs w:val="22"/>
        </w:rPr>
        <w:t xml:space="preserve">. </w:t>
      </w:r>
      <w:r w:rsidR="00073278">
        <w:rPr>
          <w:rStyle w:val="eop"/>
          <w:rFonts w:ascii="Arial" w:eastAsia="Arial" w:hAnsi="Arial" w:cs="Arial"/>
          <w:sz w:val="22"/>
          <w:szCs w:val="22"/>
        </w:rPr>
        <w:t>In doing so, the Taskforce will seek to</w:t>
      </w:r>
      <w:r w:rsidR="00073278" w:rsidRPr="00073278">
        <w:rPr>
          <w:rStyle w:val="eop"/>
          <w:rFonts w:ascii="Arial" w:eastAsia="Arial" w:hAnsi="Arial" w:cs="Arial"/>
          <w:sz w:val="22"/>
          <w:szCs w:val="22"/>
        </w:rPr>
        <w:t xml:space="preserve"> challeng</w:t>
      </w:r>
      <w:r w:rsidR="00073278">
        <w:rPr>
          <w:rStyle w:val="eop"/>
          <w:rFonts w:ascii="Arial" w:eastAsia="Arial" w:hAnsi="Arial" w:cs="Arial"/>
          <w:sz w:val="22"/>
          <w:szCs w:val="22"/>
        </w:rPr>
        <w:t>e</w:t>
      </w:r>
      <w:r w:rsidR="00073278" w:rsidRPr="00073278">
        <w:rPr>
          <w:rStyle w:val="eop"/>
          <w:rFonts w:ascii="Arial" w:eastAsia="Arial" w:hAnsi="Arial" w:cs="Arial"/>
          <w:sz w:val="22"/>
          <w:szCs w:val="22"/>
        </w:rPr>
        <w:t xml:space="preserve"> industry to provide ESG reporting that drives trust, and delivers action, authenticity, and evidence</w:t>
      </w:r>
      <w:r w:rsidR="004D7C17">
        <w:rPr>
          <w:rStyle w:val="eop"/>
          <w:rFonts w:ascii="Arial" w:eastAsia="Arial" w:hAnsi="Arial" w:cs="Arial"/>
          <w:sz w:val="22"/>
          <w:szCs w:val="22"/>
        </w:rPr>
        <w:t xml:space="preserve">. </w:t>
      </w:r>
      <w:r w:rsidR="00C70611">
        <w:rPr>
          <w:rStyle w:val="eop"/>
          <w:rFonts w:ascii="Arial" w:eastAsia="Arial" w:hAnsi="Arial" w:cs="Arial"/>
          <w:sz w:val="22"/>
          <w:szCs w:val="22"/>
        </w:rPr>
        <w:t>The Taskforce will commit to:</w:t>
      </w:r>
    </w:p>
    <w:p w14:paraId="51229A2A" w14:textId="4306992E" w:rsidR="002909D2" w:rsidRPr="00C70611" w:rsidRDefault="008F1BC6" w:rsidP="00280473">
      <w:pPr>
        <w:pStyle w:val="ListParagraph"/>
        <w:numPr>
          <w:ilvl w:val="0"/>
          <w:numId w:val="8"/>
        </w:numPr>
        <w:jc w:val="both"/>
        <w:rPr>
          <w:rStyle w:val="eop"/>
          <w:rFonts w:ascii="Arial" w:eastAsia="Arial" w:hAnsi="Arial" w:cs="Arial"/>
          <w:lang w:eastAsia="en-GB"/>
        </w:rPr>
      </w:pPr>
      <w:r w:rsidRPr="00C70611">
        <w:rPr>
          <w:rStyle w:val="eop"/>
          <w:rFonts w:ascii="Arial" w:eastAsia="Arial" w:hAnsi="Arial" w:cs="Arial"/>
          <w:lang w:eastAsia="en-GB"/>
        </w:rPr>
        <w:t>R</w:t>
      </w:r>
      <w:r w:rsidR="002909D2" w:rsidRPr="00C70611">
        <w:rPr>
          <w:rStyle w:val="eop"/>
          <w:rFonts w:ascii="Arial" w:eastAsia="Arial" w:hAnsi="Arial" w:cs="Arial"/>
          <w:lang w:eastAsia="en-GB"/>
        </w:rPr>
        <w:t xml:space="preserve">eview and </w:t>
      </w:r>
      <w:r w:rsidR="00C70611">
        <w:rPr>
          <w:rStyle w:val="eop"/>
          <w:rFonts w:ascii="Arial" w:eastAsia="Arial" w:hAnsi="Arial" w:cs="Arial"/>
          <w:lang w:eastAsia="en-GB"/>
        </w:rPr>
        <w:t>assess</w:t>
      </w:r>
      <w:r w:rsidR="002909D2" w:rsidRPr="00C70611">
        <w:rPr>
          <w:rStyle w:val="eop"/>
          <w:rFonts w:ascii="Arial" w:eastAsia="Arial" w:hAnsi="Arial" w:cs="Arial"/>
          <w:lang w:eastAsia="en-GB"/>
        </w:rPr>
        <w:t xml:space="preserve"> how companies are currently reporting on ESG issues, whether they are complying with the current recommendations in their </w:t>
      </w:r>
      <w:r w:rsidR="00A71FAD" w:rsidRPr="00C70611">
        <w:rPr>
          <w:rStyle w:val="eop"/>
          <w:rFonts w:ascii="Arial" w:eastAsia="Arial" w:hAnsi="Arial" w:cs="Arial"/>
          <w:lang w:eastAsia="en-GB"/>
        </w:rPr>
        <w:t>most recent</w:t>
      </w:r>
      <w:r w:rsidR="002909D2" w:rsidRPr="00C70611">
        <w:rPr>
          <w:rStyle w:val="eop"/>
          <w:rFonts w:ascii="Arial" w:eastAsia="Arial" w:hAnsi="Arial" w:cs="Arial"/>
          <w:lang w:eastAsia="en-GB"/>
        </w:rPr>
        <w:t xml:space="preserve"> reports and if not, where the issues and inconsistencies are </w:t>
      </w:r>
      <w:proofErr w:type="gramStart"/>
      <w:r w:rsidR="002909D2" w:rsidRPr="00C70611">
        <w:rPr>
          <w:rStyle w:val="eop"/>
          <w:rFonts w:ascii="Arial" w:eastAsia="Arial" w:hAnsi="Arial" w:cs="Arial"/>
          <w:lang w:eastAsia="en-GB"/>
        </w:rPr>
        <w:t>arising</w:t>
      </w:r>
      <w:r w:rsidR="00C70611">
        <w:rPr>
          <w:rStyle w:val="eop"/>
          <w:rFonts w:ascii="Arial" w:eastAsia="Arial" w:hAnsi="Arial" w:cs="Arial"/>
          <w:lang w:eastAsia="en-GB"/>
        </w:rPr>
        <w:t>;</w:t>
      </w:r>
      <w:proofErr w:type="gramEnd"/>
    </w:p>
    <w:p w14:paraId="51712975" w14:textId="1333FB5F" w:rsidR="6D2A0AF7" w:rsidRDefault="00500D57" w:rsidP="00280473">
      <w:pPr>
        <w:pStyle w:val="paragraph"/>
        <w:numPr>
          <w:ilvl w:val="0"/>
          <w:numId w:val="1"/>
        </w:numPr>
        <w:spacing w:before="240" w:beforeAutospacing="0" w:after="120" w:afterAutospacing="0"/>
        <w:jc w:val="both"/>
        <w:rPr>
          <w:rStyle w:val="eop"/>
        </w:rPr>
      </w:pPr>
      <w:r>
        <w:rPr>
          <w:rStyle w:val="eop"/>
          <w:rFonts w:ascii="Arial" w:eastAsia="Arial" w:hAnsi="Arial" w:cs="Arial"/>
          <w:sz w:val="22"/>
          <w:szCs w:val="22"/>
        </w:rPr>
        <w:lastRenderedPageBreak/>
        <w:t>Provide c</w:t>
      </w:r>
      <w:r w:rsidR="6D2A0AF7" w:rsidRPr="31385132">
        <w:rPr>
          <w:rStyle w:val="eop"/>
          <w:rFonts w:ascii="Arial" w:eastAsia="Arial" w:hAnsi="Arial" w:cs="Arial"/>
          <w:sz w:val="22"/>
          <w:szCs w:val="22"/>
        </w:rPr>
        <w:t>larif</w:t>
      </w:r>
      <w:r w:rsidR="57440842" w:rsidRPr="31385132">
        <w:rPr>
          <w:rStyle w:val="eop"/>
          <w:rFonts w:ascii="Arial" w:eastAsia="Arial" w:hAnsi="Arial" w:cs="Arial"/>
          <w:sz w:val="22"/>
          <w:szCs w:val="22"/>
        </w:rPr>
        <w:t>ication and elaboration of</w:t>
      </w:r>
      <w:r w:rsidR="6D2A0AF7" w:rsidRPr="31385132">
        <w:rPr>
          <w:rStyle w:val="eop"/>
          <w:rFonts w:ascii="Arial" w:eastAsia="Arial" w:hAnsi="Arial" w:cs="Arial"/>
          <w:sz w:val="22"/>
          <w:szCs w:val="22"/>
        </w:rPr>
        <w:t xml:space="preserve"> previously published recommendations </w:t>
      </w:r>
      <w:r w:rsidR="63FADFEE" w:rsidRPr="31385132">
        <w:rPr>
          <w:rStyle w:val="eop"/>
          <w:rFonts w:ascii="Arial" w:eastAsia="Arial" w:hAnsi="Arial" w:cs="Arial"/>
          <w:sz w:val="22"/>
          <w:szCs w:val="22"/>
        </w:rPr>
        <w:t>where appropriate,</w:t>
      </w:r>
      <w:r w:rsidR="41B7F4FB" w:rsidRPr="31385132">
        <w:rPr>
          <w:rStyle w:val="eop"/>
          <w:rFonts w:ascii="Arial" w:eastAsia="Arial" w:hAnsi="Arial" w:cs="Arial"/>
          <w:sz w:val="22"/>
          <w:szCs w:val="22"/>
        </w:rPr>
        <w:t xml:space="preserve"> such as</w:t>
      </w:r>
      <w:r w:rsidR="27C1EEEA" w:rsidRPr="31385132">
        <w:rPr>
          <w:rStyle w:val="eop"/>
          <w:rFonts w:ascii="Arial" w:eastAsia="Arial" w:hAnsi="Arial" w:cs="Arial"/>
          <w:sz w:val="22"/>
          <w:szCs w:val="22"/>
        </w:rPr>
        <w:t xml:space="preserve"> around </w:t>
      </w:r>
      <w:r w:rsidR="41B7F4FB" w:rsidRPr="31385132">
        <w:rPr>
          <w:rStyle w:val="eop"/>
          <w:rFonts w:ascii="Arial" w:eastAsia="Arial" w:hAnsi="Arial" w:cs="Arial"/>
          <w:sz w:val="22"/>
          <w:szCs w:val="22"/>
        </w:rPr>
        <w:t>definitions/units/metrics</w:t>
      </w:r>
      <w:r w:rsidR="3F4419CE" w:rsidRPr="31385132">
        <w:rPr>
          <w:rStyle w:val="eop"/>
          <w:rFonts w:ascii="Arial" w:eastAsia="Arial" w:hAnsi="Arial" w:cs="Arial"/>
          <w:sz w:val="22"/>
          <w:szCs w:val="22"/>
        </w:rPr>
        <w:t xml:space="preserve"> as appropriate</w:t>
      </w:r>
      <w:r w:rsidR="00A71FAD">
        <w:rPr>
          <w:rStyle w:val="eop"/>
          <w:rFonts w:ascii="Arial" w:eastAsia="Arial" w:hAnsi="Arial" w:cs="Arial"/>
          <w:sz w:val="22"/>
          <w:szCs w:val="22"/>
        </w:rPr>
        <w:t>,</w:t>
      </w:r>
      <w:r w:rsidR="00AC6742">
        <w:rPr>
          <w:rStyle w:val="eop"/>
          <w:rFonts w:ascii="Arial" w:eastAsia="Arial" w:hAnsi="Arial" w:cs="Arial"/>
          <w:sz w:val="22"/>
          <w:szCs w:val="22"/>
        </w:rPr>
        <w:t xml:space="preserve"> and</w:t>
      </w:r>
      <w:r w:rsidR="00D80C34">
        <w:rPr>
          <w:rStyle w:val="eop"/>
          <w:rFonts w:ascii="Arial" w:eastAsia="Arial" w:hAnsi="Arial" w:cs="Arial"/>
          <w:sz w:val="22"/>
          <w:szCs w:val="22"/>
        </w:rPr>
        <w:t xml:space="preserve"> </w:t>
      </w:r>
      <w:r w:rsidR="00D80C34" w:rsidRPr="00D80C34">
        <w:rPr>
          <w:rStyle w:val="eop"/>
          <w:rFonts w:ascii="Arial" w:eastAsia="Arial" w:hAnsi="Arial" w:cs="Arial"/>
          <w:sz w:val="22"/>
          <w:szCs w:val="22"/>
        </w:rPr>
        <w:t>to consider whether further recommendations on ESG reporting are appropriate or desirable given regulatory developments, the requirements of the investor community and current practice in reporting</w:t>
      </w:r>
    </w:p>
    <w:p w14:paraId="28B76487" w14:textId="3DE42E86" w:rsidR="6D2A0AF7" w:rsidRDefault="00430CF6" w:rsidP="00280473">
      <w:pPr>
        <w:pStyle w:val="paragraph"/>
        <w:numPr>
          <w:ilvl w:val="0"/>
          <w:numId w:val="1"/>
        </w:numPr>
        <w:spacing w:before="240" w:beforeAutospacing="0" w:after="120" w:afterAutospacing="0"/>
        <w:jc w:val="both"/>
        <w:rPr>
          <w:rStyle w:val="eop"/>
          <w:sz w:val="22"/>
          <w:szCs w:val="22"/>
        </w:rPr>
      </w:pPr>
      <w:r>
        <w:rPr>
          <w:rStyle w:val="eop"/>
          <w:rFonts w:ascii="Arial" w:eastAsia="Arial" w:hAnsi="Arial" w:cs="Arial"/>
          <w:sz w:val="22"/>
          <w:szCs w:val="22"/>
        </w:rPr>
        <w:t>Assi</w:t>
      </w:r>
      <w:r w:rsidR="00AC6742">
        <w:rPr>
          <w:rStyle w:val="eop"/>
          <w:rFonts w:ascii="Arial" w:eastAsia="Arial" w:hAnsi="Arial" w:cs="Arial"/>
          <w:sz w:val="22"/>
          <w:szCs w:val="22"/>
        </w:rPr>
        <w:t>sting</w:t>
      </w:r>
      <w:r w:rsidRPr="31385132">
        <w:rPr>
          <w:rStyle w:val="eop"/>
          <w:rFonts w:ascii="Arial" w:eastAsia="Arial" w:hAnsi="Arial" w:cs="Arial"/>
          <w:sz w:val="22"/>
          <w:szCs w:val="22"/>
        </w:rPr>
        <w:t xml:space="preserve"> </w:t>
      </w:r>
      <w:r w:rsidR="6D2A0AF7" w:rsidRPr="31385132">
        <w:rPr>
          <w:rStyle w:val="eop"/>
          <w:rFonts w:ascii="Arial" w:eastAsia="Arial" w:hAnsi="Arial" w:cs="Arial"/>
          <w:sz w:val="22"/>
          <w:szCs w:val="22"/>
        </w:rPr>
        <w:t xml:space="preserve">industry </w:t>
      </w:r>
      <w:r w:rsidR="00FF1CCF">
        <w:rPr>
          <w:rStyle w:val="eop"/>
          <w:rFonts w:ascii="Arial" w:eastAsia="Arial" w:hAnsi="Arial" w:cs="Arial"/>
          <w:sz w:val="22"/>
          <w:szCs w:val="22"/>
        </w:rPr>
        <w:t xml:space="preserve">by </w:t>
      </w:r>
      <w:r w:rsidR="00C4033F">
        <w:rPr>
          <w:rStyle w:val="eop"/>
          <w:rFonts w:ascii="Arial" w:eastAsia="Arial" w:hAnsi="Arial" w:cs="Arial"/>
          <w:sz w:val="22"/>
          <w:szCs w:val="22"/>
        </w:rPr>
        <w:t>sharing and advising on how to approach ESG reporting through the use of c</w:t>
      </w:r>
      <w:r w:rsidR="6D2A0AF7" w:rsidRPr="31385132">
        <w:rPr>
          <w:rStyle w:val="eop"/>
          <w:rFonts w:ascii="Arial" w:eastAsia="Arial" w:hAnsi="Arial" w:cs="Arial"/>
          <w:sz w:val="22"/>
          <w:szCs w:val="22"/>
        </w:rPr>
        <w:t xml:space="preserve">ase </w:t>
      </w:r>
      <w:r w:rsidR="00C4033F">
        <w:rPr>
          <w:rStyle w:val="eop"/>
          <w:rFonts w:ascii="Arial" w:eastAsia="Arial" w:hAnsi="Arial" w:cs="Arial"/>
          <w:sz w:val="22"/>
          <w:szCs w:val="22"/>
        </w:rPr>
        <w:t>s</w:t>
      </w:r>
      <w:r w:rsidR="6D2A0AF7" w:rsidRPr="31385132">
        <w:rPr>
          <w:rStyle w:val="eop"/>
          <w:rFonts w:ascii="Arial" w:eastAsia="Arial" w:hAnsi="Arial" w:cs="Arial"/>
          <w:sz w:val="22"/>
          <w:szCs w:val="22"/>
        </w:rPr>
        <w:t xml:space="preserve">tudies, </w:t>
      </w:r>
      <w:r w:rsidR="00C4033F">
        <w:rPr>
          <w:rStyle w:val="eop"/>
          <w:rFonts w:ascii="Arial" w:eastAsia="Arial" w:hAnsi="Arial" w:cs="Arial"/>
          <w:sz w:val="22"/>
          <w:szCs w:val="22"/>
        </w:rPr>
        <w:t>sharing Best</w:t>
      </w:r>
      <w:r w:rsidR="6D2A0AF7" w:rsidRPr="31385132">
        <w:rPr>
          <w:rStyle w:val="eop"/>
          <w:rFonts w:ascii="Arial" w:eastAsia="Arial" w:hAnsi="Arial" w:cs="Arial"/>
          <w:sz w:val="22"/>
          <w:szCs w:val="22"/>
        </w:rPr>
        <w:t xml:space="preserve"> Practice examples</w:t>
      </w:r>
      <w:r w:rsidR="00C4033F">
        <w:rPr>
          <w:rStyle w:val="eop"/>
          <w:rFonts w:ascii="Arial" w:eastAsia="Arial" w:hAnsi="Arial" w:cs="Arial"/>
          <w:sz w:val="22"/>
          <w:szCs w:val="22"/>
        </w:rPr>
        <w:t xml:space="preserve">, and convening regular workshops and roundtable discussions. </w:t>
      </w:r>
    </w:p>
    <w:p w14:paraId="792C6879" w14:textId="548214E1" w:rsidR="5711386B" w:rsidRDefault="5711386B" w:rsidP="00280473">
      <w:pPr>
        <w:pStyle w:val="paragraph"/>
        <w:numPr>
          <w:ilvl w:val="0"/>
          <w:numId w:val="1"/>
        </w:numPr>
        <w:spacing w:before="240" w:beforeAutospacing="0" w:after="120" w:afterAutospacing="0"/>
        <w:jc w:val="both"/>
        <w:rPr>
          <w:rStyle w:val="eop"/>
          <w:rFonts w:ascii="Arial" w:eastAsia="Arial" w:hAnsi="Arial" w:cs="Arial"/>
          <w:sz w:val="22"/>
          <w:szCs w:val="22"/>
        </w:rPr>
      </w:pPr>
      <w:r w:rsidRPr="31385132">
        <w:rPr>
          <w:rStyle w:val="eop"/>
          <w:rFonts w:ascii="Arial" w:eastAsia="Arial" w:hAnsi="Arial" w:cs="Arial"/>
          <w:sz w:val="22"/>
          <w:szCs w:val="22"/>
        </w:rPr>
        <w:t>Act</w:t>
      </w:r>
      <w:r w:rsidR="1E3B3676" w:rsidRPr="31385132">
        <w:rPr>
          <w:rStyle w:val="eop"/>
          <w:rFonts w:ascii="Arial" w:eastAsia="Arial" w:hAnsi="Arial" w:cs="Arial"/>
          <w:sz w:val="22"/>
          <w:szCs w:val="22"/>
        </w:rPr>
        <w:t>ing</w:t>
      </w:r>
      <w:r w:rsidRPr="31385132">
        <w:rPr>
          <w:rStyle w:val="eop"/>
          <w:rFonts w:ascii="Arial" w:eastAsia="Arial" w:hAnsi="Arial" w:cs="Arial"/>
          <w:sz w:val="22"/>
          <w:szCs w:val="22"/>
        </w:rPr>
        <w:t xml:space="preserve"> as a</w:t>
      </w:r>
      <w:r w:rsidR="5BDA6F52" w:rsidRPr="31385132">
        <w:rPr>
          <w:rStyle w:val="eop"/>
          <w:rFonts w:ascii="Arial" w:eastAsia="Arial" w:hAnsi="Arial" w:cs="Arial"/>
          <w:sz w:val="22"/>
          <w:szCs w:val="22"/>
        </w:rPr>
        <w:t xml:space="preserve"> continuous</w:t>
      </w:r>
      <w:r w:rsidRPr="31385132">
        <w:rPr>
          <w:rStyle w:val="eop"/>
          <w:rFonts w:ascii="Arial" w:eastAsia="Arial" w:hAnsi="Arial" w:cs="Arial"/>
          <w:sz w:val="22"/>
          <w:szCs w:val="22"/>
        </w:rPr>
        <w:t xml:space="preserve"> </w:t>
      </w:r>
      <w:r w:rsidR="1700FA9A" w:rsidRPr="31385132">
        <w:rPr>
          <w:rStyle w:val="eop"/>
          <w:rFonts w:ascii="Arial" w:eastAsia="Arial" w:hAnsi="Arial" w:cs="Arial"/>
          <w:sz w:val="22"/>
          <w:szCs w:val="22"/>
        </w:rPr>
        <w:t>bridge</w:t>
      </w:r>
      <w:r w:rsidRPr="31385132">
        <w:rPr>
          <w:rStyle w:val="eop"/>
          <w:rFonts w:ascii="Arial" w:eastAsia="Arial" w:hAnsi="Arial" w:cs="Arial"/>
          <w:sz w:val="22"/>
          <w:szCs w:val="22"/>
        </w:rPr>
        <w:t xml:space="preserve"> between industry, the </w:t>
      </w:r>
      <w:r w:rsidR="000E1669">
        <w:rPr>
          <w:rStyle w:val="eop"/>
          <w:rFonts w:ascii="Arial" w:eastAsia="Arial" w:hAnsi="Arial" w:cs="Arial"/>
          <w:sz w:val="22"/>
          <w:szCs w:val="22"/>
        </w:rPr>
        <w:t>NSTA</w:t>
      </w:r>
      <w:r w:rsidRPr="31385132">
        <w:rPr>
          <w:rStyle w:val="eop"/>
          <w:rFonts w:ascii="Arial" w:eastAsia="Arial" w:hAnsi="Arial" w:cs="Arial"/>
          <w:sz w:val="22"/>
          <w:szCs w:val="22"/>
        </w:rPr>
        <w:t>, and the invest</w:t>
      </w:r>
      <w:r w:rsidR="449C6685" w:rsidRPr="31385132">
        <w:rPr>
          <w:rStyle w:val="eop"/>
          <w:rFonts w:ascii="Arial" w:eastAsia="Arial" w:hAnsi="Arial" w:cs="Arial"/>
          <w:sz w:val="22"/>
          <w:szCs w:val="22"/>
        </w:rPr>
        <w:t>ment</w:t>
      </w:r>
      <w:r w:rsidRPr="31385132">
        <w:rPr>
          <w:rStyle w:val="eop"/>
          <w:rFonts w:ascii="Arial" w:eastAsia="Arial" w:hAnsi="Arial" w:cs="Arial"/>
          <w:sz w:val="22"/>
          <w:szCs w:val="22"/>
        </w:rPr>
        <w:t xml:space="preserve"> community</w:t>
      </w:r>
    </w:p>
    <w:p w14:paraId="29A1DE40" w14:textId="0E92B05E" w:rsidR="66554E0F" w:rsidRDefault="66554E0F" w:rsidP="00280473">
      <w:pPr>
        <w:pStyle w:val="paragraph"/>
        <w:numPr>
          <w:ilvl w:val="0"/>
          <w:numId w:val="1"/>
        </w:numPr>
        <w:spacing w:before="240" w:beforeAutospacing="0" w:after="120" w:afterAutospacing="0"/>
        <w:jc w:val="both"/>
        <w:rPr>
          <w:rStyle w:val="eop"/>
          <w:rFonts w:ascii="Arial" w:eastAsia="Arial" w:hAnsi="Arial" w:cs="Arial"/>
          <w:sz w:val="22"/>
          <w:szCs w:val="22"/>
        </w:rPr>
      </w:pPr>
      <w:r w:rsidRPr="31385132">
        <w:rPr>
          <w:rStyle w:val="eop"/>
          <w:rFonts w:ascii="Arial" w:eastAsia="Arial" w:hAnsi="Arial" w:cs="Arial"/>
          <w:sz w:val="22"/>
          <w:szCs w:val="22"/>
        </w:rPr>
        <w:t xml:space="preserve">Delivering against </w:t>
      </w:r>
      <w:r w:rsidR="000C7454">
        <w:rPr>
          <w:rStyle w:val="eop"/>
          <w:rFonts w:ascii="Arial" w:eastAsia="Arial" w:hAnsi="Arial" w:cs="Arial"/>
          <w:sz w:val="22"/>
          <w:szCs w:val="22"/>
        </w:rPr>
        <w:t xml:space="preserve">and reacting to, </w:t>
      </w:r>
      <w:r w:rsidRPr="31385132">
        <w:rPr>
          <w:rStyle w:val="eop"/>
          <w:rFonts w:ascii="Arial" w:eastAsia="Arial" w:hAnsi="Arial" w:cs="Arial"/>
          <w:sz w:val="22"/>
          <w:szCs w:val="22"/>
        </w:rPr>
        <w:t>the key issues</w:t>
      </w:r>
      <w:r w:rsidR="00EF4EA9">
        <w:rPr>
          <w:rStyle w:val="eop"/>
          <w:rFonts w:ascii="Arial" w:eastAsia="Arial" w:hAnsi="Arial" w:cs="Arial"/>
          <w:sz w:val="22"/>
          <w:szCs w:val="22"/>
        </w:rPr>
        <w:t xml:space="preserve"> and potential challenges</w:t>
      </w:r>
      <w:r w:rsidRPr="31385132">
        <w:rPr>
          <w:rStyle w:val="eop"/>
          <w:rFonts w:ascii="Arial" w:eastAsia="Arial" w:hAnsi="Arial" w:cs="Arial"/>
          <w:sz w:val="22"/>
          <w:szCs w:val="22"/>
        </w:rPr>
        <w:t xml:space="preserve"> facing industry and investors </w:t>
      </w:r>
      <w:r w:rsidR="0F4E564E" w:rsidRPr="31385132">
        <w:rPr>
          <w:rStyle w:val="eop"/>
          <w:rFonts w:ascii="Arial" w:eastAsia="Arial" w:hAnsi="Arial" w:cs="Arial"/>
          <w:sz w:val="22"/>
          <w:szCs w:val="22"/>
        </w:rPr>
        <w:t>such as data quality</w:t>
      </w:r>
      <w:r w:rsidR="00172BCF">
        <w:rPr>
          <w:rStyle w:val="eop"/>
          <w:rFonts w:ascii="Arial" w:eastAsia="Arial" w:hAnsi="Arial" w:cs="Arial"/>
          <w:sz w:val="22"/>
          <w:szCs w:val="22"/>
        </w:rPr>
        <w:t xml:space="preserve"> and comparability</w:t>
      </w:r>
      <w:r w:rsidR="00EF4EA9">
        <w:rPr>
          <w:rStyle w:val="eop"/>
          <w:rFonts w:ascii="Arial" w:eastAsia="Arial" w:hAnsi="Arial" w:cs="Arial"/>
          <w:sz w:val="22"/>
          <w:szCs w:val="22"/>
        </w:rPr>
        <w:t>,</w:t>
      </w:r>
      <w:r w:rsidR="00120DAC">
        <w:rPr>
          <w:rStyle w:val="eop"/>
          <w:rFonts w:ascii="Arial" w:eastAsia="Arial" w:hAnsi="Arial" w:cs="Arial"/>
          <w:sz w:val="22"/>
          <w:szCs w:val="22"/>
        </w:rPr>
        <w:t xml:space="preserve"> emerging areas such as TNFD</w:t>
      </w:r>
      <w:r w:rsidR="00EF4EA9">
        <w:rPr>
          <w:rStyle w:val="eop"/>
          <w:rFonts w:ascii="Arial" w:eastAsia="Arial" w:hAnsi="Arial" w:cs="Arial"/>
          <w:sz w:val="22"/>
          <w:szCs w:val="22"/>
        </w:rPr>
        <w:t xml:space="preserve">, and the shifting regulatory landscape and </w:t>
      </w:r>
      <w:r w:rsidR="009C77E1">
        <w:rPr>
          <w:rStyle w:val="eop"/>
          <w:rFonts w:ascii="Arial" w:eastAsia="Arial" w:hAnsi="Arial" w:cs="Arial"/>
          <w:sz w:val="22"/>
          <w:szCs w:val="22"/>
        </w:rPr>
        <w:t xml:space="preserve">reporting requirements. </w:t>
      </w:r>
      <w:r w:rsidR="00172BCF">
        <w:rPr>
          <w:rStyle w:val="eop"/>
          <w:rFonts w:ascii="Arial" w:eastAsia="Arial" w:hAnsi="Arial" w:cs="Arial"/>
          <w:sz w:val="22"/>
          <w:szCs w:val="22"/>
        </w:rPr>
        <w:t xml:space="preserve"> </w:t>
      </w:r>
    </w:p>
    <w:p w14:paraId="1A886063" w14:textId="095713F0" w:rsidR="5A331B4B" w:rsidRPr="000C1EDB" w:rsidRDefault="5A331B4B" w:rsidP="00280473">
      <w:pPr>
        <w:pStyle w:val="paragraph"/>
        <w:numPr>
          <w:ilvl w:val="0"/>
          <w:numId w:val="1"/>
        </w:numPr>
        <w:spacing w:before="240" w:beforeAutospacing="0" w:after="120" w:afterAutospacing="0"/>
        <w:jc w:val="both"/>
        <w:rPr>
          <w:rStyle w:val="eop"/>
          <w:sz w:val="22"/>
          <w:szCs w:val="22"/>
        </w:rPr>
      </w:pPr>
      <w:r w:rsidRPr="31385132">
        <w:rPr>
          <w:rStyle w:val="eop"/>
          <w:rFonts w:ascii="Arial" w:eastAsia="Arial" w:hAnsi="Arial" w:cs="Arial"/>
          <w:sz w:val="22"/>
          <w:szCs w:val="22"/>
        </w:rPr>
        <w:t>Promot</w:t>
      </w:r>
      <w:r w:rsidR="668C8248" w:rsidRPr="31385132">
        <w:rPr>
          <w:rStyle w:val="eop"/>
          <w:rFonts w:ascii="Arial" w:eastAsia="Arial" w:hAnsi="Arial" w:cs="Arial"/>
          <w:sz w:val="22"/>
          <w:szCs w:val="22"/>
        </w:rPr>
        <w:t>ing</w:t>
      </w:r>
      <w:r w:rsidRPr="31385132">
        <w:rPr>
          <w:rStyle w:val="eop"/>
          <w:rFonts w:ascii="Arial" w:eastAsia="Arial" w:hAnsi="Arial" w:cs="Arial"/>
          <w:sz w:val="22"/>
          <w:szCs w:val="22"/>
        </w:rPr>
        <w:t xml:space="preserve"> key ESG social and governance considerations as and when appropriate, such as </w:t>
      </w:r>
      <w:r w:rsidR="00C70DFA">
        <w:rPr>
          <w:rStyle w:val="eop"/>
          <w:rFonts w:ascii="Arial" w:eastAsia="Arial" w:hAnsi="Arial" w:cs="Arial"/>
          <w:sz w:val="22"/>
          <w:szCs w:val="22"/>
        </w:rPr>
        <w:t>ensuring</w:t>
      </w:r>
      <w:r w:rsidR="00234FFD">
        <w:rPr>
          <w:rStyle w:val="eop"/>
          <w:rFonts w:ascii="Arial" w:eastAsia="Arial" w:hAnsi="Arial" w:cs="Arial"/>
          <w:sz w:val="22"/>
          <w:szCs w:val="22"/>
        </w:rPr>
        <w:t xml:space="preserve"> the community</w:t>
      </w:r>
      <w:r w:rsidR="00C70DFA">
        <w:rPr>
          <w:rStyle w:val="eop"/>
          <w:rFonts w:ascii="Arial" w:eastAsia="Arial" w:hAnsi="Arial" w:cs="Arial"/>
          <w:sz w:val="22"/>
          <w:szCs w:val="22"/>
        </w:rPr>
        <w:t xml:space="preserve"> is cognisant of the </w:t>
      </w:r>
      <w:r w:rsidR="00234FFD">
        <w:rPr>
          <w:rStyle w:val="eop"/>
          <w:rFonts w:ascii="Arial" w:eastAsia="Arial" w:hAnsi="Arial" w:cs="Arial"/>
          <w:sz w:val="22"/>
          <w:szCs w:val="22"/>
        </w:rPr>
        <w:t xml:space="preserve">ESG ambitions of industry, and the ways in which </w:t>
      </w:r>
      <w:r w:rsidRPr="31385132">
        <w:rPr>
          <w:rStyle w:val="eop"/>
          <w:rFonts w:ascii="Arial" w:eastAsia="Arial" w:hAnsi="Arial" w:cs="Arial"/>
          <w:sz w:val="22"/>
          <w:szCs w:val="22"/>
        </w:rPr>
        <w:t>the supply chain</w:t>
      </w:r>
      <w:r w:rsidR="71C3DCB1" w:rsidRPr="31385132">
        <w:rPr>
          <w:rStyle w:val="eop"/>
          <w:rFonts w:ascii="Arial" w:eastAsia="Arial" w:hAnsi="Arial" w:cs="Arial"/>
          <w:sz w:val="22"/>
          <w:szCs w:val="22"/>
        </w:rPr>
        <w:t xml:space="preserve"> and </w:t>
      </w:r>
      <w:r w:rsidRPr="31385132">
        <w:rPr>
          <w:rStyle w:val="eop"/>
          <w:rFonts w:ascii="Arial" w:eastAsia="Arial" w:hAnsi="Arial" w:cs="Arial"/>
          <w:sz w:val="22"/>
          <w:szCs w:val="22"/>
        </w:rPr>
        <w:t>the audit</w:t>
      </w:r>
      <w:r w:rsidR="00234FFD">
        <w:rPr>
          <w:rStyle w:val="eop"/>
          <w:rFonts w:ascii="Arial" w:eastAsia="Arial" w:hAnsi="Arial" w:cs="Arial"/>
          <w:sz w:val="22"/>
          <w:szCs w:val="22"/>
        </w:rPr>
        <w:t xml:space="preserve"> process can drive positive change through the sector. </w:t>
      </w:r>
    </w:p>
    <w:p w14:paraId="41973B7A" w14:textId="0356BF93" w:rsidR="000C1EDB" w:rsidRPr="000C1EDB" w:rsidRDefault="000C1EDB" w:rsidP="00280473">
      <w:pPr>
        <w:pStyle w:val="paragraph"/>
        <w:spacing w:before="240" w:after="120"/>
        <w:jc w:val="both"/>
        <w:rPr>
          <w:rStyle w:val="eop"/>
          <w:rFonts w:ascii="Arial" w:eastAsia="Arial" w:hAnsi="Arial" w:cs="Arial"/>
          <w:sz w:val="22"/>
          <w:szCs w:val="22"/>
        </w:rPr>
      </w:pPr>
      <w:r w:rsidRPr="000C1EDB">
        <w:rPr>
          <w:rStyle w:val="eop"/>
          <w:rFonts w:ascii="Arial" w:eastAsia="Arial" w:hAnsi="Arial" w:cs="Arial"/>
          <w:sz w:val="22"/>
          <w:szCs w:val="22"/>
        </w:rPr>
        <w:t xml:space="preserve">Any change to the Terms of Reference and scope of the Taskforce, does not alter its original intent. </w:t>
      </w:r>
    </w:p>
    <w:p w14:paraId="79F78895" w14:textId="77777777" w:rsidR="004B7B1E" w:rsidRDefault="004B7B1E" w:rsidP="00280473">
      <w:pPr>
        <w:pStyle w:val="paragraph"/>
        <w:spacing w:before="0" w:beforeAutospacing="0" w:after="0" w:afterAutospacing="0"/>
        <w:jc w:val="both"/>
        <w:textAlignment w:val="baseline"/>
        <w:rPr>
          <w:rStyle w:val="normaltextrun"/>
          <w:rFonts w:ascii="Arial" w:hAnsi="Arial" w:cs="Arial"/>
        </w:rPr>
      </w:pPr>
    </w:p>
    <w:p w14:paraId="3480A663" w14:textId="283FBE5B" w:rsidR="005F1A16" w:rsidRDefault="005F1A16" w:rsidP="0028047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30767736" w14:textId="4BC81767" w:rsidR="004B7B1E" w:rsidRDefault="004B7B1E" w:rsidP="00280473">
      <w:pPr>
        <w:pStyle w:val="paragraph"/>
        <w:spacing w:before="0" w:beforeAutospacing="0" w:after="0" w:afterAutospacing="0"/>
        <w:jc w:val="both"/>
        <w:textAlignment w:val="baseline"/>
        <w:rPr>
          <w:rStyle w:val="eop"/>
          <w:rFonts w:ascii="Arial" w:hAnsi="Arial" w:cs="Arial"/>
          <w:sz w:val="22"/>
          <w:szCs w:val="22"/>
        </w:rPr>
      </w:pPr>
    </w:p>
    <w:p w14:paraId="56369A84" w14:textId="07D29A77" w:rsidR="004B7B1E" w:rsidRDefault="004B7B1E" w:rsidP="00280473">
      <w:pPr>
        <w:pStyle w:val="paragraph"/>
        <w:spacing w:before="0" w:beforeAutospacing="0" w:after="0" w:afterAutospacing="0"/>
        <w:jc w:val="both"/>
        <w:textAlignment w:val="baseline"/>
        <w:rPr>
          <w:rStyle w:val="eop"/>
          <w:rFonts w:ascii="Arial" w:hAnsi="Arial" w:cs="Arial"/>
          <w:sz w:val="22"/>
          <w:szCs w:val="22"/>
        </w:rPr>
      </w:pPr>
    </w:p>
    <w:p w14:paraId="357C78E9" w14:textId="03374689" w:rsidR="004B7B1E" w:rsidRDefault="004B7B1E" w:rsidP="00280473">
      <w:pPr>
        <w:pStyle w:val="paragraph"/>
        <w:spacing w:before="0" w:beforeAutospacing="0" w:after="0" w:afterAutospacing="0"/>
        <w:jc w:val="both"/>
        <w:textAlignment w:val="baseline"/>
        <w:rPr>
          <w:rStyle w:val="eop"/>
          <w:rFonts w:ascii="Arial" w:hAnsi="Arial" w:cs="Arial"/>
          <w:sz w:val="22"/>
          <w:szCs w:val="22"/>
        </w:rPr>
      </w:pPr>
    </w:p>
    <w:p w14:paraId="7A99989C" w14:textId="77777777" w:rsidR="004B7B1E" w:rsidRDefault="004B7B1E" w:rsidP="00280473">
      <w:pPr>
        <w:pStyle w:val="paragraph"/>
        <w:spacing w:before="0" w:beforeAutospacing="0" w:after="0" w:afterAutospacing="0"/>
        <w:jc w:val="both"/>
        <w:textAlignment w:val="baseline"/>
        <w:rPr>
          <w:rFonts w:ascii="Segoe UI" w:hAnsi="Segoe UI" w:cs="Segoe UI"/>
          <w:sz w:val="18"/>
          <w:szCs w:val="18"/>
        </w:rPr>
      </w:pPr>
    </w:p>
    <w:p w14:paraId="4C9A0D41" w14:textId="77777777" w:rsidR="00472299" w:rsidRDefault="005F1A16" w:rsidP="00280473">
      <w:pPr>
        <w:pStyle w:val="paragraph"/>
        <w:spacing w:before="0" w:beforeAutospacing="0" w:after="120" w:afterAutospacing="0"/>
        <w:jc w:val="both"/>
        <w:textAlignment w:val="baseline"/>
        <w:rPr>
          <w:rStyle w:val="scxw13591093"/>
          <w:rFonts w:ascii="Arial" w:hAnsi="Arial" w:cs="Arial"/>
          <w:sz w:val="22"/>
          <w:szCs w:val="22"/>
        </w:rPr>
      </w:pPr>
      <w:r>
        <w:rPr>
          <w:rStyle w:val="scxw13591093"/>
          <w:rFonts w:ascii="Arial" w:hAnsi="Arial" w:cs="Arial"/>
          <w:sz w:val="22"/>
          <w:szCs w:val="22"/>
        </w:rPr>
        <w:t> </w:t>
      </w:r>
    </w:p>
    <w:p w14:paraId="4D6213F4" w14:textId="77777777" w:rsidR="00472299" w:rsidRDefault="00472299" w:rsidP="00280473">
      <w:pPr>
        <w:pStyle w:val="paragraph"/>
        <w:spacing w:before="0" w:beforeAutospacing="0" w:after="120" w:afterAutospacing="0"/>
        <w:jc w:val="both"/>
        <w:textAlignment w:val="baseline"/>
        <w:rPr>
          <w:rStyle w:val="scxw13591093"/>
          <w:rFonts w:ascii="Arial" w:hAnsi="Arial" w:cs="Arial"/>
          <w:sz w:val="22"/>
          <w:szCs w:val="22"/>
        </w:rPr>
      </w:pPr>
    </w:p>
    <w:p w14:paraId="506EE808" w14:textId="45885AE4" w:rsidR="00127D49" w:rsidRDefault="00127D49" w:rsidP="00280473">
      <w:pPr>
        <w:pStyle w:val="paragraph"/>
        <w:spacing w:before="0" w:beforeAutospacing="0" w:after="120" w:afterAutospacing="0" w:line="276" w:lineRule="auto"/>
        <w:jc w:val="both"/>
      </w:pPr>
    </w:p>
    <w:sectPr w:rsidR="00127D4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51729" w14:textId="77777777" w:rsidR="00914148" w:rsidRDefault="00914148" w:rsidP="00DA7DCC">
      <w:pPr>
        <w:spacing w:after="0" w:line="240" w:lineRule="auto"/>
      </w:pPr>
      <w:r>
        <w:separator/>
      </w:r>
    </w:p>
  </w:endnote>
  <w:endnote w:type="continuationSeparator" w:id="0">
    <w:p w14:paraId="3C87F066" w14:textId="77777777" w:rsidR="00914148" w:rsidRDefault="00914148" w:rsidP="00DA7DCC">
      <w:pPr>
        <w:spacing w:after="0" w:line="240" w:lineRule="auto"/>
      </w:pPr>
      <w:r>
        <w:continuationSeparator/>
      </w:r>
    </w:p>
  </w:endnote>
  <w:endnote w:type="continuationNotice" w:id="1">
    <w:p w14:paraId="1475EBD5" w14:textId="77777777" w:rsidR="00914148" w:rsidRDefault="00914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32185"/>
      <w:docPartObj>
        <w:docPartGallery w:val="Page Numbers (Bottom of Page)"/>
        <w:docPartUnique/>
      </w:docPartObj>
    </w:sdtPr>
    <w:sdtEndPr>
      <w:rPr>
        <w:noProof/>
      </w:rPr>
    </w:sdtEndPr>
    <w:sdtContent>
      <w:p w14:paraId="4B2DAFBB" w14:textId="40237BA9" w:rsidR="00DA7DCC" w:rsidRDefault="00DA7DCC">
        <w:pPr>
          <w:pStyle w:val="Footer"/>
          <w:jc w:val="center"/>
        </w:pPr>
        <w:r>
          <w:fldChar w:fldCharType="begin"/>
        </w:r>
        <w:r>
          <w:instrText xml:space="preserve"> PAGE   \* MERGEFORMAT </w:instrText>
        </w:r>
        <w:r>
          <w:fldChar w:fldCharType="separate"/>
        </w:r>
        <w:r w:rsidR="00517F35">
          <w:rPr>
            <w:noProof/>
          </w:rPr>
          <w:t>2</w:t>
        </w:r>
        <w:r>
          <w:rPr>
            <w:noProof/>
          </w:rPr>
          <w:fldChar w:fldCharType="end"/>
        </w:r>
      </w:p>
    </w:sdtContent>
  </w:sdt>
  <w:p w14:paraId="60007D8A" w14:textId="77777777" w:rsidR="00DA7DCC" w:rsidRDefault="00DA7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04E2" w14:textId="77777777" w:rsidR="00914148" w:rsidRDefault="00914148" w:rsidP="00DA7DCC">
      <w:pPr>
        <w:spacing w:after="0" w:line="240" w:lineRule="auto"/>
      </w:pPr>
      <w:r>
        <w:separator/>
      </w:r>
    </w:p>
  </w:footnote>
  <w:footnote w:type="continuationSeparator" w:id="0">
    <w:p w14:paraId="3B32D399" w14:textId="77777777" w:rsidR="00914148" w:rsidRDefault="00914148" w:rsidP="00DA7DCC">
      <w:pPr>
        <w:spacing w:after="0" w:line="240" w:lineRule="auto"/>
      </w:pPr>
      <w:r>
        <w:continuationSeparator/>
      </w:r>
    </w:p>
  </w:footnote>
  <w:footnote w:type="continuationNotice" w:id="1">
    <w:p w14:paraId="3485D4B5" w14:textId="77777777" w:rsidR="00914148" w:rsidRDefault="0091414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g65oKMeV3y6Ys" int2:id="wz1YqUsp">
      <int2:state int2:value="Rejected" int2:type="LegacyProofing"/>
    </int2:textHash>
    <int2:textHash int2:hashCode="Rl+xliDoRZxNNa" int2:id="h2lGgzJ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10FD"/>
    <w:multiLevelType w:val="multilevel"/>
    <w:tmpl w:val="DC1A5E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D0F2346"/>
    <w:multiLevelType w:val="hybridMultilevel"/>
    <w:tmpl w:val="E26C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C5341"/>
    <w:multiLevelType w:val="multilevel"/>
    <w:tmpl w:val="63B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321329"/>
    <w:multiLevelType w:val="hybridMultilevel"/>
    <w:tmpl w:val="6628722A"/>
    <w:lvl w:ilvl="0" w:tplc="4980FFD0">
      <w:start w:val="1"/>
      <w:numFmt w:val="bullet"/>
      <w:lvlText w:val=""/>
      <w:lvlJc w:val="left"/>
      <w:pPr>
        <w:ind w:left="720" w:hanging="360"/>
      </w:pPr>
      <w:rPr>
        <w:rFonts w:ascii="Symbol" w:hAnsi="Symbol" w:hint="default"/>
      </w:rPr>
    </w:lvl>
    <w:lvl w:ilvl="1" w:tplc="642438DA">
      <w:start w:val="1"/>
      <w:numFmt w:val="bullet"/>
      <w:lvlText w:val="o"/>
      <w:lvlJc w:val="left"/>
      <w:pPr>
        <w:ind w:left="1440" w:hanging="360"/>
      </w:pPr>
      <w:rPr>
        <w:rFonts w:ascii="Courier New" w:hAnsi="Courier New" w:hint="default"/>
      </w:rPr>
    </w:lvl>
    <w:lvl w:ilvl="2" w:tplc="6E682440">
      <w:start w:val="1"/>
      <w:numFmt w:val="bullet"/>
      <w:lvlText w:val=""/>
      <w:lvlJc w:val="left"/>
      <w:pPr>
        <w:ind w:left="2160" w:hanging="360"/>
      </w:pPr>
      <w:rPr>
        <w:rFonts w:ascii="Wingdings" w:hAnsi="Wingdings" w:hint="default"/>
      </w:rPr>
    </w:lvl>
    <w:lvl w:ilvl="3" w:tplc="17BCC78E">
      <w:start w:val="1"/>
      <w:numFmt w:val="bullet"/>
      <w:lvlText w:val=""/>
      <w:lvlJc w:val="left"/>
      <w:pPr>
        <w:ind w:left="2880" w:hanging="360"/>
      </w:pPr>
      <w:rPr>
        <w:rFonts w:ascii="Symbol" w:hAnsi="Symbol" w:hint="default"/>
      </w:rPr>
    </w:lvl>
    <w:lvl w:ilvl="4" w:tplc="1D883FFC">
      <w:start w:val="1"/>
      <w:numFmt w:val="bullet"/>
      <w:lvlText w:val="o"/>
      <w:lvlJc w:val="left"/>
      <w:pPr>
        <w:ind w:left="3600" w:hanging="360"/>
      </w:pPr>
      <w:rPr>
        <w:rFonts w:ascii="Courier New" w:hAnsi="Courier New" w:hint="default"/>
      </w:rPr>
    </w:lvl>
    <w:lvl w:ilvl="5" w:tplc="13EEF45E">
      <w:start w:val="1"/>
      <w:numFmt w:val="bullet"/>
      <w:lvlText w:val=""/>
      <w:lvlJc w:val="left"/>
      <w:pPr>
        <w:ind w:left="4320" w:hanging="360"/>
      </w:pPr>
      <w:rPr>
        <w:rFonts w:ascii="Wingdings" w:hAnsi="Wingdings" w:hint="default"/>
      </w:rPr>
    </w:lvl>
    <w:lvl w:ilvl="6" w:tplc="56D223CE">
      <w:start w:val="1"/>
      <w:numFmt w:val="bullet"/>
      <w:lvlText w:val=""/>
      <w:lvlJc w:val="left"/>
      <w:pPr>
        <w:ind w:left="5040" w:hanging="360"/>
      </w:pPr>
      <w:rPr>
        <w:rFonts w:ascii="Symbol" w:hAnsi="Symbol" w:hint="default"/>
      </w:rPr>
    </w:lvl>
    <w:lvl w:ilvl="7" w:tplc="EA92612C">
      <w:start w:val="1"/>
      <w:numFmt w:val="bullet"/>
      <w:lvlText w:val="o"/>
      <w:lvlJc w:val="left"/>
      <w:pPr>
        <w:ind w:left="5760" w:hanging="360"/>
      </w:pPr>
      <w:rPr>
        <w:rFonts w:ascii="Courier New" w:hAnsi="Courier New" w:hint="default"/>
      </w:rPr>
    </w:lvl>
    <w:lvl w:ilvl="8" w:tplc="30AA3A04">
      <w:start w:val="1"/>
      <w:numFmt w:val="bullet"/>
      <w:lvlText w:val=""/>
      <w:lvlJc w:val="left"/>
      <w:pPr>
        <w:ind w:left="6480" w:hanging="360"/>
      </w:pPr>
      <w:rPr>
        <w:rFonts w:ascii="Wingdings" w:hAnsi="Wingdings" w:hint="default"/>
      </w:rPr>
    </w:lvl>
  </w:abstractNum>
  <w:abstractNum w:abstractNumId="4" w15:restartNumberingAfterBreak="0">
    <w:nsid w:val="2F697A41"/>
    <w:multiLevelType w:val="hybridMultilevel"/>
    <w:tmpl w:val="BE0C808C"/>
    <w:lvl w:ilvl="0" w:tplc="E4648774">
      <w:start w:val="1"/>
      <w:numFmt w:val="bullet"/>
      <w:lvlText w:val=""/>
      <w:lvlJc w:val="left"/>
      <w:pPr>
        <w:ind w:left="720" w:hanging="360"/>
      </w:pPr>
      <w:rPr>
        <w:rFonts w:ascii="Symbol" w:hAnsi="Symbol" w:hint="default"/>
      </w:rPr>
    </w:lvl>
    <w:lvl w:ilvl="1" w:tplc="D1E6E770">
      <w:start w:val="1"/>
      <w:numFmt w:val="bullet"/>
      <w:lvlText w:val="o"/>
      <w:lvlJc w:val="left"/>
      <w:pPr>
        <w:ind w:left="1440" w:hanging="360"/>
      </w:pPr>
      <w:rPr>
        <w:rFonts w:ascii="Courier New" w:hAnsi="Courier New" w:hint="default"/>
      </w:rPr>
    </w:lvl>
    <w:lvl w:ilvl="2" w:tplc="35DA7DF4">
      <w:start w:val="1"/>
      <w:numFmt w:val="bullet"/>
      <w:lvlText w:val=""/>
      <w:lvlJc w:val="left"/>
      <w:pPr>
        <w:ind w:left="2160" w:hanging="360"/>
      </w:pPr>
      <w:rPr>
        <w:rFonts w:ascii="Wingdings" w:hAnsi="Wingdings" w:hint="default"/>
      </w:rPr>
    </w:lvl>
    <w:lvl w:ilvl="3" w:tplc="6A1C3110">
      <w:start w:val="1"/>
      <w:numFmt w:val="bullet"/>
      <w:lvlText w:val=""/>
      <w:lvlJc w:val="left"/>
      <w:pPr>
        <w:ind w:left="2880" w:hanging="360"/>
      </w:pPr>
      <w:rPr>
        <w:rFonts w:ascii="Symbol" w:hAnsi="Symbol" w:hint="default"/>
      </w:rPr>
    </w:lvl>
    <w:lvl w:ilvl="4" w:tplc="A1408BB4">
      <w:start w:val="1"/>
      <w:numFmt w:val="bullet"/>
      <w:lvlText w:val="o"/>
      <w:lvlJc w:val="left"/>
      <w:pPr>
        <w:ind w:left="3600" w:hanging="360"/>
      </w:pPr>
      <w:rPr>
        <w:rFonts w:ascii="Courier New" w:hAnsi="Courier New" w:hint="default"/>
      </w:rPr>
    </w:lvl>
    <w:lvl w:ilvl="5" w:tplc="173E196E">
      <w:start w:val="1"/>
      <w:numFmt w:val="bullet"/>
      <w:lvlText w:val=""/>
      <w:lvlJc w:val="left"/>
      <w:pPr>
        <w:ind w:left="4320" w:hanging="360"/>
      </w:pPr>
      <w:rPr>
        <w:rFonts w:ascii="Wingdings" w:hAnsi="Wingdings" w:hint="default"/>
      </w:rPr>
    </w:lvl>
    <w:lvl w:ilvl="6" w:tplc="D6947B3A">
      <w:start w:val="1"/>
      <w:numFmt w:val="bullet"/>
      <w:lvlText w:val=""/>
      <w:lvlJc w:val="left"/>
      <w:pPr>
        <w:ind w:left="5040" w:hanging="360"/>
      </w:pPr>
      <w:rPr>
        <w:rFonts w:ascii="Symbol" w:hAnsi="Symbol" w:hint="default"/>
      </w:rPr>
    </w:lvl>
    <w:lvl w:ilvl="7" w:tplc="C81A3AE0">
      <w:start w:val="1"/>
      <w:numFmt w:val="bullet"/>
      <w:lvlText w:val="o"/>
      <w:lvlJc w:val="left"/>
      <w:pPr>
        <w:ind w:left="5760" w:hanging="360"/>
      </w:pPr>
      <w:rPr>
        <w:rFonts w:ascii="Courier New" w:hAnsi="Courier New" w:hint="default"/>
      </w:rPr>
    </w:lvl>
    <w:lvl w:ilvl="8" w:tplc="06EC040C">
      <w:start w:val="1"/>
      <w:numFmt w:val="bullet"/>
      <w:lvlText w:val=""/>
      <w:lvlJc w:val="left"/>
      <w:pPr>
        <w:ind w:left="6480" w:hanging="360"/>
      </w:pPr>
      <w:rPr>
        <w:rFonts w:ascii="Wingdings" w:hAnsi="Wingdings" w:hint="default"/>
      </w:rPr>
    </w:lvl>
  </w:abstractNum>
  <w:abstractNum w:abstractNumId="5" w15:restartNumberingAfterBreak="0">
    <w:nsid w:val="45260D16"/>
    <w:multiLevelType w:val="hybridMultilevel"/>
    <w:tmpl w:val="4E56BBE2"/>
    <w:lvl w:ilvl="0" w:tplc="53CC26BA">
      <w:start w:val="1"/>
      <w:numFmt w:val="decimal"/>
      <w:lvlText w:val="%1."/>
      <w:lvlJc w:val="left"/>
      <w:pPr>
        <w:ind w:left="720" w:hanging="360"/>
      </w:pPr>
    </w:lvl>
    <w:lvl w:ilvl="1" w:tplc="39B09824">
      <w:start w:val="1"/>
      <w:numFmt w:val="lowerLetter"/>
      <w:lvlText w:val="%2."/>
      <w:lvlJc w:val="left"/>
      <w:pPr>
        <w:ind w:left="1440" w:hanging="360"/>
      </w:pPr>
    </w:lvl>
    <w:lvl w:ilvl="2" w:tplc="49B2BC12">
      <w:start w:val="1"/>
      <w:numFmt w:val="lowerRoman"/>
      <w:lvlText w:val="%3."/>
      <w:lvlJc w:val="right"/>
      <w:pPr>
        <w:ind w:left="2160" w:hanging="180"/>
      </w:pPr>
    </w:lvl>
    <w:lvl w:ilvl="3" w:tplc="80C48360">
      <w:start w:val="1"/>
      <w:numFmt w:val="decimal"/>
      <w:lvlText w:val="%4."/>
      <w:lvlJc w:val="left"/>
      <w:pPr>
        <w:ind w:left="2880" w:hanging="360"/>
      </w:pPr>
    </w:lvl>
    <w:lvl w:ilvl="4" w:tplc="9C668184">
      <w:start w:val="1"/>
      <w:numFmt w:val="lowerLetter"/>
      <w:lvlText w:val="%5."/>
      <w:lvlJc w:val="left"/>
      <w:pPr>
        <w:ind w:left="3600" w:hanging="360"/>
      </w:pPr>
    </w:lvl>
    <w:lvl w:ilvl="5" w:tplc="48EACE2C">
      <w:start w:val="1"/>
      <w:numFmt w:val="lowerRoman"/>
      <w:lvlText w:val="%6."/>
      <w:lvlJc w:val="right"/>
      <w:pPr>
        <w:ind w:left="4320" w:hanging="180"/>
      </w:pPr>
    </w:lvl>
    <w:lvl w:ilvl="6" w:tplc="0FBCEAE4">
      <w:start w:val="1"/>
      <w:numFmt w:val="decimal"/>
      <w:lvlText w:val="%7."/>
      <w:lvlJc w:val="left"/>
      <w:pPr>
        <w:ind w:left="5040" w:hanging="360"/>
      </w:pPr>
    </w:lvl>
    <w:lvl w:ilvl="7" w:tplc="C3F634A6">
      <w:start w:val="1"/>
      <w:numFmt w:val="lowerLetter"/>
      <w:lvlText w:val="%8."/>
      <w:lvlJc w:val="left"/>
      <w:pPr>
        <w:ind w:left="5760" w:hanging="360"/>
      </w:pPr>
    </w:lvl>
    <w:lvl w:ilvl="8" w:tplc="1D7CA0B8">
      <w:start w:val="1"/>
      <w:numFmt w:val="lowerRoman"/>
      <w:lvlText w:val="%9."/>
      <w:lvlJc w:val="right"/>
      <w:pPr>
        <w:ind w:left="6480" w:hanging="180"/>
      </w:pPr>
    </w:lvl>
  </w:abstractNum>
  <w:abstractNum w:abstractNumId="6" w15:restartNumberingAfterBreak="0">
    <w:nsid w:val="504364C8"/>
    <w:multiLevelType w:val="hybridMultilevel"/>
    <w:tmpl w:val="3196916A"/>
    <w:lvl w:ilvl="0" w:tplc="13D63AF8">
      <w:numFmt w:val="bullet"/>
      <w:lvlText w:val="•"/>
      <w:lvlJc w:val="left"/>
      <w:pPr>
        <w:ind w:left="1080" w:hanging="72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8C103B"/>
    <w:multiLevelType w:val="hybridMultilevel"/>
    <w:tmpl w:val="D79E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233570">
    <w:abstractNumId w:val="4"/>
  </w:num>
  <w:num w:numId="2" w16cid:durableId="1975716173">
    <w:abstractNumId w:val="5"/>
  </w:num>
  <w:num w:numId="3" w16cid:durableId="262569811">
    <w:abstractNumId w:val="3"/>
  </w:num>
  <w:num w:numId="4" w16cid:durableId="1947107216">
    <w:abstractNumId w:val="0"/>
  </w:num>
  <w:num w:numId="5" w16cid:durableId="1534004436">
    <w:abstractNumId w:val="2"/>
  </w:num>
  <w:num w:numId="6" w16cid:durableId="984161924">
    <w:abstractNumId w:val="1"/>
  </w:num>
  <w:num w:numId="7" w16cid:durableId="1625234825">
    <w:abstractNumId w:val="6"/>
  </w:num>
  <w:num w:numId="8" w16cid:durableId="1100493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16"/>
    <w:rsid w:val="0001052C"/>
    <w:rsid w:val="00073278"/>
    <w:rsid w:val="00077B5C"/>
    <w:rsid w:val="000B3D0C"/>
    <w:rsid w:val="000C1EDB"/>
    <w:rsid w:val="000C7454"/>
    <w:rsid w:val="000E1669"/>
    <w:rsid w:val="000E7BE7"/>
    <w:rsid w:val="000F13F5"/>
    <w:rsid w:val="00117C91"/>
    <w:rsid w:val="00120DAC"/>
    <w:rsid w:val="00123387"/>
    <w:rsid w:val="00126277"/>
    <w:rsid w:val="00127D49"/>
    <w:rsid w:val="00144869"/>
    <w:rsid w:val="00145510"/>
    <w:rsid w:val="0015794C"/>
    <w:rsid w:val="0016252D"/>
    <w:rsid w:val="00172BCF"/>
    <w:rsid w:val="001A1E83"/>
    <w:rsid w:val="001C37F5"/>
    <w:rsid w:val="001C4AD0"/>
    <w:rsid w:val="001D041D"/>
    <w:rsid w:val="001E1352"/>
    <w:rsid w:val="001E342B"/>
    <w:rsid w:val="00204408"/>
    <w:rsid w:val="00234FFD"/>
    <w:rsid w:val="002527D4"/>
    <w:rsid w:val="002567C8"/>
    <w:rsid w:val="00265140"/>
    <w:rsid w:val="00280473"/>
    <w:rsid w:val="00290859"/>
    <w:rsid w:val="002909D2"/>
    <w:rsid w:val="00293A85"/>
    <w:rsid w:val="002957CA"/>
    <w:rsid w:val="002C64D8"/>
    <w:rsid w:val="0033687B"/>
    <w:rsid w:val="0035106C"/>
    <w:rsid w:val="0038080C"/>
    <w:rsid w:val="0039140C"/>
    <w:rsid w:val="003B739E"/>
    <w:rsid w:val="003F5C54"/>
    <w:rsid w:val="004153B8"/>
    <w:rsid w:val="00430CF6"/>
    <w:rsid w:val="00445FA0"/>
    <w:rsid w:val="00453588"/>
    <w:rsid w:val="00472299"/>
    <w:rsid w:val="00476A7E"/>
    <w:rsid w:val="00481236"/>
    <w:rsid w:val="00494C79"/>
    <w:rsid w:val="004B7B1E"/>
    <w:rsid w:val="004D5CFA"/>
    <w:rsid w:val="004D7C17"/>
    <w:rsid w:val="00500D57"/>
    <w:rsid w:val="00517F35"/>
    <w:rsid w:val="005258B5"/>
    <w:rsid w:val="00546874"/>
    <w:rsid w:val="00593A48"/>
    <w:rsid w:val="005D226B"/>
    <w:rsid w:val="005E2B61"/>
    <w:rsid w:val="005F1A16"/>
    <w:rsid w:val="005F650E"/>
    <w:rsid w:val="00605476"/>
    <w:rsid w:val="00607BCE"/>
    <w:rsid w:val="0064050A"/>
    <w:rsid w:val="00642933"/>
    <w:rsid w:val="006D532D"/>
    <w:rsid w:val="00707CBB"/>
    <w:rsid w:val="0071181B"/>
    <w:rsid w:val="00733CB2"/>
    <w:rsid w:val="00745784"/>
    <w:rsid w:val="00754DC7"/>
    <w:rsid w:val="00775D4A"/>
    <w:rsid w:val="00786E39"/>
    <w:rsid w:val="0079004B"/>
    <w:rsid w:val="00795BC7"/>
    <w:rsid w:val="007F4485"/>
    <w:rsid w:val="00812D43"/>
    <w:rsid w:val="00838B97"/>
    <w:rsid w:val="00843BFC"/>
    <w:rsid w:val="008522D5"/>
    <w:rsid w:val="00856075"/>
    <w:rsid w:val="00863AF9"/>
    <w:rsid w:val="008770F3"/>
    <w:rsid w:val="0088255F"/>
    <w:rsid w:val="008C17EC"/>
    <w:rsid w:val="008E102B"/>
    <w:rsid w:val="008F1BC6"/>
    <w:rsid w:val="00912321"/>
    <w:rsid w:val="00914148"/>
    <w:rsid w:val="00921F04"/>
    <w:rsid w:val="009264D6"/>
    <w:rsid w:val="00927DE1"/>
    <w:rsid w:val="00934B12"/>
    <w:rsid w:val="0095747B"/>
    <w:rsid w:val="009678BB"/>
    <w:rsid w:val="00980000"/>
    <w:rsid w:val="00982D3E"/>
    <w:rsid w:val="009A333F"/>
    <w:rsid w:val="009B769F"/>
    <w:rsid w:val="009C0F17"/>
    <w:rsid w:val="009C77E1"/>
    <w:rsid w:val="009F0F47"/>
    <w:rsid w:val="00A01023"/>
    <w:rsid w:val="00A06045"/>
    <w:rsid w:val="00A14D0F"/>
    <w:rsid w:val="00A16204"/>
    <w:rsid w:val="00A23B76"/>
    <w:rsid w:val="00A37B2F"/>
    <w:rsid w:val="00A71FAD"/>
    <w:rsid w:val="00A84B0B"/>
    <w:rsid w:val="00A92629"/>
    <w:rsid w:val="00A9638C"/>
    <w:rsid w:val="00AC6742"/>
    <w:rsid w:val="00AD2505"/>
    <w:rsid w:val="00AD3E01"/>
    <w:rsid w:val="00AE12F0"/>
    <w:rsid w:val="00AE191A"/>
    <w:rsid w:val="00AE65B1"/>
    <w:rsid w:val="00B57CBC"/>
    <w:rsid w:val="00B62A48"/>
    <w:rsid w:val="00BA07C3"/>
    <w:rsid w:val="00BA7460"/>
    <w:rsid w:val="00BB7925"/>
    <w:rsid w:val="00BC0439"/>
    <w:rsid w:val="00BD16BD"/>
    <w:rsid w:val="00BF6733"/>
    <w:rsid w:val="00C0417C"/>
    <w:rsid w:val="00C156FB"/>
    <w:rsid w:val="00C26145"/>
    <w:rsid w:val="00C4033F"/>
    <w:rsid w:val="00C43249"/>
    <w:rsid w:val="00C70611"/>
    <w:rsid w:val="00C70DFA"/>
    <w:rsid w:val="00C7747D"/>
    <w:rsid w:val="00C83961"/>
    <w:rsid w:val="00C95DF1"/>
    <w:rsid w:val="00CA594C"/>
    <w:rsid w:val="00D80C34"/>
    <w:rsid w:val="00D9249C"/>
    <w:rsid w:val="00D9306F"/>
    <w:rsid w:val="00DA7DCC"/>
    <w:rsid w:val="00DC1F4C"/>
    <w:rsid w:val="00DD243C"/>
    <w:rsid w:val="00DD51E7"/>
    <w:rsid w:val="00DE2111"/>
    <w:rsid w:val="00E24F4C"/>
    <w:rsid w:val="00E35E87"/>
    <w:rsid w:val="00E36B34"/>
    <w:rsid w:val="00E46DF0"/>
    <w:rsid w:val="00E55AFC"/>
    <w:rsid w:val="00E67F29"/>
    <w:rsid w:val="00E84CD0"/>
    <w:rsid w:val="00EF4EA9"/>
    <w:rsid w:val="00F05511"/>
    <w:rsid w:val="00F15BC1"/>
    <w:rsid w:val="00F17D44"/>
    <w:rsid w:val="00F32AE9"/>
    <w:rsid w:val="00F50C09"/>
    <w:rsid w:val="00F536B1"/>
    <w:rsid w:val="00F53841"/>
    <w:rsid w:val="00F565E8"/>
    <w:rsid w:val="00F771BE"/>
    <w:rsid w:val="00F9473C"/>
    <w:rsid w:val="00FB3DBD"/>
    <w:rsid w:val="00FD04CD"/>
    <w:rsid w:val="00FF1CCF"/>
    <w:rsid w:val="00FF2521"/>
    <w:rsid w:val="00FF3268"/>
    <w:rsid w:val="01B583B3"/>
    <w:rsid w:val="021F5BF8"/>
    <w:rsid w:val="02960E06"/>
    <w:rsid w:val="02BF22CC"/>
    <w:rsid w:val="037239D6"/>
    <w:rsid w:val="03BB2C59"/>
    <w:rsid w:val="03E3282D"/>
    <w:rsid w:val="03F79C0C"/>
    <w:rsid w:val="04418E62"/>
    <w:rsid w:val="046BB950"/>
    <w:rsid w:val="04AEEF4C"/>
    <w:rsid w:val="0503009B"/>
    <w:rsid w:val="053C80FD"/>
    <w:rsid w:val="054C43A3"/>
    <w:rsid w:val="0635C0C2"/>
    <w:rsid w:val="0667FE92"/>
    <w:rsid w:val="067801BF"/>
    <w:rsid w:val="069ED0FC"/>
    <w:rsid w:val="06B896E3"/>
    <w:rsid w:val="0705CB01"/>
    <w:rsid w:val="07229A9D"/>
    <w:rsid w:val="0722AAD6"/>
    <w:rsid w:val="081C1A17"/>
    <w:rsid w:val="08C34E43"/>
    <w:rsid w:val="09693812"/>
    <w:rsid w:val="0A31F9A6"/>
    <w:rsid w:val="0A5B62F9"/>
    <w:rsid w:val="0AB5A36D"/>
    <w:rsid w:val="0BC63E3E"/>
    <w:rsid w:val="0C20570D"/>
    <w:rsid w:val="0CA0D8D4"/>
    <w:rsid w:val="0CBA0131"/>
    <w:rsid w:val="0D7AF7E7"/>
    <w:rsid w:val="0E01D573"/>
    <w:rsid w:val="0E3CA935"/>
    <w:rsid w:val="0E54F217"/>
    <w:rsid w:val="0E690FA4"/>
    <w:rsid w:val="0E844488"/>
    <w:rsid w:val="0EFDDF00"/>
    <w:rsid w:val="0F28277F"/>
    <w:rsid w:val="0F4E564E"/>
    <w:rsid w:val="0F9672E7"/>
    <w:rsid w:val="0FC79491"/>
    <w:rsid w:val="1047A8DF"/>
    <w:rsid w:val="110248F9"/>
    <w:rsid w:val="1363E0D7"/>
    <w:rsid w:val="1457B22C"/>
    <w:rsid w:val="14B3D83F"/>
    <w:rsid w:val="150C66EA"/>
    <w:rsid w:val="154BB18D"/>
    <w:rsid w:val="159D98BE"/>
    <w:rsid w:val="15AE10F6"/>
    <w:rsid w:val="15B4ECB2"/>
    <w:rsid w:val="1647BB1A"/>
    <w:rsid w:val="168BB07B"/>
    <w:rsid w:val="1693709F"/>
    <w:rsid w:val="1700FA9A"/>
    <w:rsid w:val="170D1140"/>
    <w:rsid w:val="172CD287"/>
    <w:rsid w:val="173A16A5"/>
    <w:rsid w:val="1767309B"/>
    <w:rsid w:val="17864ABF"/>
    <w:rsid w:val="17EB7901"/>
    <w:rsid w:val="189F7501"/>
    <w:rsid w:val="18A4C146"/>
    <w:rsid w:val="18E8E233"/>
    <w:rsid w:val="1937CA9F"/>
    <w:rsid w:val="196CA8C6"/>
    <w:rsid w:val="19874962"/>
    <w:rsid w:val="1A4091A7"/>
    <w:rsid w:val="1A59BA04"/>
    <w:rsid w:val="1A6FEE3F"/>
    <w:rsid w:val="1ACF1DA4"/>
    <w:rsid w:val="1AD6414D"/>
    <w:rsid w:val="1B865A0C"/>
    <w:rsid w:val="1C6E14BD"/>
    <w:rsid w:val="1CBB5F1F"/>
    <w:rsid w:val="1CC83775"/>
    <w:rsid w:val="1DF21365"/>
    <w:rsid w:val="1E2A1F30"/>
    <w:rsid w:val="1E3B3676"/>
    <w:rsid w:val="1E3CB74B"/>
    <w:rsid w:val="1E726AAF"/>
    <w:rsid w:val="1EC006AB"/>
    <w:rsid w:val="1F1402CA"/>
    <w:rsid w:val="1FEE9D60"/>
    <w:rsid w:val="20340DA7"/>
    <w:rsid w:val="2063C492"/>
    <w:rsid w:val="20AFD32B"/>
    <w:rsid w:val="20D9246F"/>
    <w:rsid w:val="21564DD5"/>
    <w:rsid w:val="21F7A76D"/>
    <w:rsid w:val="22012267"/>
    <w:rsid w:val="2371A013"/>
    <w:rsid w:val="2490B594"/>
    <w:rsid w:val="25F9D10A"/>
    <w:rsid w:val="260538C7"/>
    <w:rsid w:val="26F1BF4B"/>
    <w:rsid w:val="26FA30BD"/>
    <w:rsid w:val="2705933E"/>
    <w:rsid w:val="271F14AF"/>
    <w:rsid w:val="27B35868"/>
    <w:rsid w:val="27C1EEEA"/>
    <w:rsid w:val="28B006A7"/>
    <w:rsid w:val="2934C60C"/>
    <w:rsid w:val="2A02B952"/>
    <w:rsid w:val="2AFC56A9"/>
    <w:rsid w:val="2B29096D"/>
    <w:rsid w:val="2B9E89B3"/>
    <w:rsid w:val="2BEA3F38"/>
    <w:rsid w:val="2C858F2B"/>
    <w:rsid w:val="2D1F7F49"/>
    <w:rsid w:val="2D7CB5B4"/>
    <w:rsid w:val="2E040DF7"/>
    <w:rsid w:val="2E1C71E1"/>
    <w:rsid w:val="2EA50304"/>
    <w:rsid w:val="3079E85C"/>
    <w:rsid w:val="30934D27"/>
    <w:rsid w:val="30A1B047"/>
    <w:rsid w:val="31385132"/>
    <w:rsid w:val="315482F2"/>
    <w:rsid w:val="320DCB37"/>
    <w:rsid w:val="328E31FE"/>
    <w:rsid w:val="33444F72"/>
    <w:rsid w:val="33A27DF2"/>
    <w:rsid w:val="33CE9FCA"/>
    <w:rsid w:val="343024DF"/>
    <w:rsid w:val="347F6639"/>
    <w:rsid w:val="35456BF9"/>
    <w:rsid w:val="3577F921"/>
    <w:rsid w:val="36134914"/>
    <w:rsid w:val="368AE363"/>
    <w:rsid w:val="36B4F320"/>
    <w:rsid w:val="37028EAB"/>
    <w:rsid w:val="371BB708"/>
    <w:rsid w:val="37B706FB"/>
    <w:rsid w:val="382524A6"/>
    <w:rsid w:val="38A6EA85"/>
    <w:rsid w:val="38F25B2B"/>
    <w:rsid w:val="39229BB9"/>
    <w:rsid w:val="39266456"/>
    <w:rsid w:val="39DE3098"/>
    <w:rsid w:val="3A20CAA2"/>
    <w:rsid w:val="3AEEA7BD"/>
    <w:rsid w:val="3B1D7BA6"/>
    <w:rsid w:val="3BB6E5AF"/>
    <w:rsid w:val="3C17EB29"/>
    <w:rsid w:val="3D0560CC"/>
    <w:rsid w:val="3E0DF33F"/>
    <w:rsid w:val="3F4419CE"/>
    <w:rsid w:val="3F60E96A"/>
    <w:rsid w:val="3F619CAF"/>
    <w:rsid w:val="3FA5111A"/>
    <w:rsid w:val="3FCED65B"/>
    <w:rsid w:val="403444FF"/>
    <w:rsid w:val="408E58F2"/>
    <w:rsid w:val="40EF7AE5"/>
    <w:rsid w:val="415DE941"/>
    <w:rsid w:val="416AA6BC"/>
    <w:rsid w:val="41B7F4FB"/>
    <w:rsid w:val="41D55839"/>
    <w:rsid w:val="422BDC87"/>
    <w:rsid w:val="42510742"/>
    <w:rsid w:val="4254CEBB"/>
    <w:rsid w:val="4293751B"/>
    <w:rsid w:val="4306771D"/>
    <w:rsid w:val="440AC9AB"/>
    <w:rsid w:val="44958A03"/>
    <w:rsid w:val="449C6685"/>
    <w:rsid w:val="44CD54A4"/>
    <w:rsid w:val="45637D49"/>
    <w:rsid w:val="45AAB032"/>
    <w:rsid w:val="47D9E840"/>
    <w:rsid w:val="4832C275"/>
    <w:rsid w:val="4847492A"/>
    <w:rsid w:val="486D40A0"/>
    <w:rsid w:val="48B482D6"/>
    <w:rsid w:val="497734E5"/>
    <w:rsid w:val="4B8A2221"/>
    <w:rsid w:val="4BD2BECD"/>
    <w:rsid w:val="4C71052A"/>
    <w:rsid w:val="4DE974F5"/>
    <w:rsid w:val="4E4929C4"/>
    <w:rsid w:val="4F1706DF"/>
    <w:rsid w:val="50BF94BB"/>
    <w:rsid w:val="51461E02"/>
    <w:rsid w:val="52757A92"/>
    <w:rsid w:val="527A600F"/>
    <w:rsid w:val="52C61699"/>
    <w:rsid w:val="52E1EE63"/>
    <w:rsid w:val="53F7357D"/>
    <w:rsid w:val="54500B59"/>
    <w:rsid w:val="54B86B48"/>
    <w:rsid w:val="55026C84"/>
    <w:rsid w:val="5515278C"/>
    <w:rsid w:val="559AF364"/>
    <w:rsid w:val="563B134C"/>
    <w:rsid w:val="56CDAAD6"/>
    <w:rsid w:val="570640F6"/>
    <w:rsid w:val="5711386B"/>
    <w:rsid w:val="573B4121"/>
    <w:rsid w:val="57440842"/>
    <w:rsid w:val="579987BC"/>
    <w:rsid w:val="57B50BF2"/>
    <w:rsid w:val="580970D5"/>
    <w:rsid w:val="58D29426"/>
    <w:rsid w:val="590C7661"/>
    <w:rsid w:val="5A331B4B"/>
    <w:rsid w:val="5AA14AC3"/>
    <w:rsid w:val="5AC06847"/>
    <w:rsid w:val="5B950DB6"/>
    <w:rsid w:val="5BDA6F52"/>
    <w:rsid w:val="5C3D1B24"/>
    <w:rsid w:val="5CF60A55"/>
    <w:rsid w:val="5DC226CF"/>
    <w:rsid w:val="5E535331"/>
    <w:rsid w:val="5F2D2AA9"/>
    <w:rsid w:val="5F7B69D4"/>
    <w:rsid w:val="5FCED4B5"/>
    <w:rsid w:val="602817E7"/>
    <w:rsid w:val="6091FD43"/>
    <w:rsid w:val="60A2CC89"/>
    <w:rsid w:val="6125836D"/>
    <w:rsid w:val="616AA516"/>
    <w:rsid w:val="616C9260"/>
    <w:rsid w:val="620C3CC0"/>
    <w:rsid w:val="620EDD5F"/>
    <w:rsid w:val="62551072"/>
    <w:rsid w:val="62AC5CA8"/>
    <w:rsid w:val="63105E97"/>
    <w:rsid w:val="63A80D21"/>
    <w:rsid w:val="63FADFEE"/>
    <w:rsid w:val="64218CD5"/>
    <w:rsid w:val="64482D09"/>
    <w:rsid w:val="64658EDE"/>
    <w:rsid w:val="64B85712"/>
    <w:rsid w:val="64BF8859"/>
    <w:rsid w:val="64FD0CF5"/>
    <w:rsid w:val="650B460F"/>
    <w:rsid w:val="655DCE16"/>
    <w:rsid w:val="65813F17"/>
    <w:rsid w:val="6585C585"/>
    <w:rsid w:val="65EBD062"/>
    <w:rsid w:val="661BC8AB"/>
    <w:rsid w:val="663E1639"/>
    <w:rsid w:val="66554E0F"/>
    <w:rsid w:val="6661C96A"/>
    <w:rsid w:val="66688E3E"/>
    <w:rsid w:val="668C8248"/>
    <w:rsid w:val="66902F20"/>
    <w:rsid w:val="66F16349"/>
    <w:rsid w:val="68278225"/>
    <w:rsid w:val="6878508E"/>
    <w:rsid w:val="6953696D"/>
    <w:rsid w:val="6A3D813D"/>
    <w:rsid w:val="6A95C328"/>
    <w:rsid w:val="6AE6A195"/>
    <w:rsid w:val="6AEF39CE"/>
    <w:rsid w:val="6B5DF6D5"/>
    <w:rsid w:val="6BF2802B"/>
    <w:rsid w:val="6D177E0F"/>
    <w:rsid w:val="6D2A0AF7"/>
    <w:rsid w:val="6DD99174"/>
    <w:rsid w:val="6DEF0F4F"/>
    <w:rsid w:val="6E8218A8"/>
    <w:rsid w:val="6E846A41"/>
    <w:rsid w:val="6F6FC11F"/>
    <w:rsid w:val="6F8ADFB0"/>
    <w:rsid w:val="70001DD2"/>
    <w:rsid w:val="7007D23E"/>
    <w:rsid w:val="7118EF01"/>
    <w:rsid w:val="71C3DCB1"/>
    <w:rsid w:val="724CAC98"/>
    <w:rsid w:val="7327ED76"/>
    <w:rsid w:val="73B64365"/>
    <w:rsid w:val="73E40E5B"/>
    <w:rsid w:val="73E87CF9"/>
    <w:rsid w:val="7400209D"/>
    <w:rsid w:val="742B6A97"/>
    <w:rsid w:val="745DF7BF"/>
    <w:rsid w:val="745E50D3"/>
    <w:rsid w:val="75743D78"/>
    <w:rsid w:val="75DE2313"/>
    <w:rsid w:val="765180C1"/>
    <w:rsid w:val="77201DBB"/>
    <w:rsid w:val="781C39FB"/>
    <w:rsid w:val="784EE0C6"/>
    <w:rsid w:val="788D2852"/>
    <w:rsid w:val="78EC7E74"/>
    <w:rsid w:val="79E5D1D8"/>
    <w:rsid w:val="7A4932C5"/>
    <w:rsid w:val="7AC5CDFD"/>
    <w:rsid w:val="7AC6B503"/>
    <w:rsid w:val="7B253026"/>
    <w:rsid w:val="7C0245BC"/>
    <w:rsid w:val="7C36805D"/>
    <w:rsid w:val="7C71503E"/>
    <w:rsid w:val="7C789674"/>
    <w:rsid w:val="7C8F4A84"/>
    <w:rsid w:val="7DA608B7"/>
    <w:rsid w:val="7DB92480"/>
    <w:rsid w:val="7E0D209F"/>
    <w:rsid w:val="7E93BF16"/>
    <w:rsid w:val="7EFF4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97C7"/>
  <w15:chartTrackingRefBased/>
  <w15:docId w15:val="{CDD59EAE-C437-46EB-84C1-0C6AA11B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1A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1A16"/>
  </w:style>
  <w:style w:type="character" w:customStyle="1" w:styleId="eop">
    <w:name w:val="eop"/>
    <w:basedOn w:val="DefaultParagraphFont"/>
    <w:rsid w:val="005F1A16"/>
  </w:style>
  <w:style w:type="character" w:customStyle="1" w:styleId="pagebreaktextspan">
    <w:name w:val="pagebreaktextspan"/>
    <w:basedOn w:val="DefaultParagraphFont"/>
    <w:rsid w:val="005F1A16"/>
  </w:style>
  <w:style w:type="character" w:customStyle="1" w:styleId="scxw13591093">
    <w:name w:val="scxw13591093"/>
    <w:basedOn w:val="DefaultParagraphFont"/>
    <w:rsid w:val="005F1A16"/>
  </w:style>
  <w:style w:type="character" w:customStyle="1" w:styleId="tabchar">
    <w:name w:val="tabchar"/>
    <w:basedOn w:val="DefaultParagraphFont"/>
    <w:rsid w:val="005F1A16"/>
  </w:style>
  <w:style w:type="paragraph" w:styleId="BalloonText">
    <w:name w:val="Balloon Text"/>
    <w:basedOn w:val="Normal"/>
    <w:link w:val="BalloonTextChar"/>
    <w:uiPriority w:val="99"/>
    <w:semiHidden/>
    <w:unhideWhenUsed/>
    <w:rsid w:val="00AE6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5B1"/>
    <w:rPr>
      <w:rFonts w:ascii="Segoe UI" w:hAnsi="Segoe UI" w:cs="Segoe UI"/>
      <w:sz w:val="18"/>
      <w:szCs w:val="18"/>
    </w:rPr>
  </w:style>
  <w:style w:type="character" w:styleId="CommentReference">
    <w:name w:val="annotation reference"/>
    <w:basedOn w:val="DefaultParagraphFont"/>
    <w:uiPriority w:val="99"/>
    <w:semiHidden/>
    <w:unhideWhenUsed/>
    <w:rsid w:val="00AE65B1"/>
    <w:rPr>
      <w:sz w:val="16"/>
      <w:szCs w:val="16"/>
    </w:rPr>
  </w:style>
  <w:style w:type="paragraph" w:styleId="CommentText">
    <w:name w:val="annotation text"/>
    <w:basedOn w:val="Normal"/>
    <w:link w:val="CommentTextChar"/>
    <w:uiPriority w:val="99"/>
    <w:semiHidden/>
    <w:unhideWhenUsed/>
    <w:rsid w:val="00AE65B1"/>
    <w:pPr>
      <w:spacing w:line="240" w:lineRule="auto"/>
    </w:pPr>
    <w:rPr>
      <w:sz w:val="20"/>
      <w:szCs w:val="20"/>
    </w:rPr>
  </w:style>
  <w:style w:type="character" w:customStyle="1" w:styleId="CommentTextChar">
    <w:name w:val="Comment Text Char"/>
    <w:basedOn w:val="DefaultParagraphFont"/>
    <w:link w:val="CommentText"/>
    <w:uiPriority w:val="99"/>
    <w:semiHidden/>
    <w:rsid w:val="00AE65B1"/>
    <w:rPr>
      <w:sz w:val="20"/>
      <w:szCs w:val="20"/>
    </w:rPr>
  </w:style>
  <w:style w:type="paragraph" w:styleId="CommentSubject">
    <w:name w:val="annotation subject"/>
    <w:basedOn w:val="CommentText"/>
    <w:next w:val="CommentText"/>
    <w:link w:val="CommentSubjectChar"/>
    <w:uiPriority w:val="99"/>
    <w:semiHidden/>
    <w:unhideWhenUsed/>
    <w:rsid w:val="00AE65B1"/>
    <w:rPr>
      <w:b/>
      <w:bCs/>
    </w:rPr>
  </w:style>
  <w:style w:type="character" w:customStyle="1" w:styleId="CommentSubjectChar">
    <w:name w:val="Comment Subject Char"/>
    <w:basedOn w:val="CommentTextChar"/>
    <w:link w:val="CommentSubject"/>
    <w:uiPriority w:val="99"/>
    <w:semiHidden/>
    <w:rsid w:val="00AE65B1"/>
    <w:rPr>
      <w:b/>
      <w:bCs/>
      <w:sz w:val="20"/>
      <w:szCs w:val="20"/>
    </w:rPr>
  </w:style>
  <w:style w:type="paragraph" w:styleId="Header">
    <w:name w:val="header"/>
    <w:basedOn w:val="Normal"/>
    <w:link w:val="HeaderChar"/>
    <w:uiPriority w:val="99"/>
    <w:unhideWhenUsed/>
    <w:rsid w:val="00DA7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DCC"/>
  </w:style>
  <w:style w:type="paragraph" w:styleId="Footer">
    <w:name w:val="footer"/>
    <w:basedOn w:val="Normal"/>
    <w:link w:val="FooterChar"/>
    <w:uiPriority w:val="99"/>
    <w:unhideWhenUsed/>
    <w:rsid w:val="00DA7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D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09D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26272">
      <w:bodyDiv w:val="1"/>
      <w:marLeft w:val="0"/>
      <w:marRight w:val="0"/>
      <w:marTop w:val="0"/>
      <w:marBottom w:val="0"/>
      <w:divBdr>
        <w:top w:val="none" w:sz="0" w:space="0" w:color="auto"/>
        <w:left w:val="none" w:sz="0" w:space="0" w:color="auto"/>
        <w:bottom w:val="none" w:sz="0" w:space="0" w:color="auto"/>
        <w:right w:val="none" w:sz="0" w:space="0" w:color="auto"/>
      </w:divBdr>
      <w:divsChild>
        <w:div w:id="1951428782">
          <w:marLeft w:val="0"/>
          <w:marRight w:val="0"/>
          <w:marTop w:val="0"/>
          <w:marBottom w:val="0"/>
          <w:divBdr>
            <w:top w:val="none" w:sz="0" w:space="0" w:color="auto"/>
            <w:left w:val="none" w:sz="0" w:space="0" w:color="auto"/>
            <w:bottom w:val="none" w:sz="0" w:space="0" w:color="auto"/>
            <w:right w:val="none" w:sz="0" w:space="0" w:color="auto"/>
          </w:divBdr>
        </w:div>
        <w:div w:id="1802529553">
          <w:marLeft w:val="0"/>
          <w:marRight w:val="0"/>
          <w:marTop w:val="0"/>
          <w:marBottom w:val="0"/>
          <w:divBdr>
            <w:top w:val="none" w:sz="0" w:space="0" w:color="auto"/>
            <w:left w:val="none" w:sz="0" w:space="0" w:color="auto"/>
            <w:bottom w:val="none" w:sz="0" w:space="0" w:color="auto"/>
            <w:right w:val="none" w:sz="0" w:space="0" w:color="auto"/>
          </w:divBdr>
        </w:div>
        <w:div w:id="275989181">
          <w:marLeft w:val="0"/>
          <w:marRight w:val="0"/>
          <w:marTop w:val="0"/>
          <w:marBottom w:val="0"/>
          <w:divBdr>
            <w:top w:val="none" w:sz="0" w:space="0" w:color="auto"/>
            <w:left w:val="none" w:sz="0" w:space="0" w:color="auto"/>
            <w:bottom w:val="none" w:sz="0" w:space="0" w:color="auto"/>
            <w:right w:val="none" w:sz="0" w:space="0" w:color="auto"/>
          </w:divBdr>
        </w:div>
        <w:div w:id="1532500625">
          <w:marLeft w:val="0"/>
          <w:marRight w:val="0"/>
          <w:marTop w:val="0"/>
          <w:marBottom w:val="0"/>
          <w:divBdr>
            <w:top w:val="none" w:sz="0" w:space="0" w:color="auto"/>
            <w:left w:val="none" w:sz="0" w:space="0" w:color="auto"/>
            <w:bottom w:val="none" w:sz="0" w:space="0" w:color="auto"/>
            <w:right w:val="none" w:sz="0" w:space="0" w:color="auto"/>
          </w:divBdr>
        </w:div>
        <w:div w:id="936324545">
          <w:marLeft w:val="0"/>
          <w:marRight w:val="0"/>
          <w:marTop w:val="0"/>
          <w:marBottom w:val="0"/>
          <w:divBdr>
            <w:top w:val="none" w:sz="0" w:space="0" w:color="auto"/>
            <w:left w:val="none" w:sz="0" w:space="0" w:color="auto"/>
            <w:bottom w:val="none" w:sz="0" w:space="0" w:color="auto"/>
            <w:right w:val="none" w:sz="0" w:space="0" w:color="auto"/>
          </w:divBdr>
        </w:div>
        <w:div w:id="530411328">
          <w:marLeft w:val="0"/>
          <w:marRight w:val="0"/>
          <w:marTop w:val="0"/>
          <w:marBottom w:val="0"/>
          <w:divBdr>
            <w:top w:val="none" w:sz="0" w:space="0" w:color="auto"/>
            <w:left w:val="none" w:sz="0" w:space="0" w:color="auto"/>
            <w:bottom w:val="none" w:sz="0" w:space="0" w:color="auto"/>
            <w:right w:val="none" w:sz="0" w:space="0" w:color="auto"/>
          </w:divBdr>
          <w:divsChild>
            <w:div w:id="1829708589">
              <w:marLeft w:val="0"/>
              <w:marRight w:val="0"/>
              <w:marTop w:val="0"/>
              <w:marBottom w:val="0"/>
              <w:divBdr>
                <w:top w:val="none" w:sz="0" w:space="0" w:color="auto"/>
                <w:left w:val="none" w:sz="0" w:space="0" w:color="auto"/>
                <w:bottom w:val="none" w:sz="0" w:space="0" w:color="auto"/>
                <w:right w:val="none" w:sz="0" w:space="0" w:color="auto"/>
              </w:divBdr>
            </w:div>
            <w:div w:id="167251742">
              <w:marLeft w:val="0"/>
              <w:marRight w:val="0"/>
              <w:marTop w:val="0"/>
              <w:marBottom w:val="0"/>
              <w:divBdr>
                <w:top w:val="none" w:sz="0" w:space="0" w:color="auto"/>
                <w:left w:val="none" w:sz="0" w:space="0" w:color="auto"/>
                <w:bottom w:val="none" w:sz="0" w:space="0" w:color="auto"/>
                <w:right w:val="none" w:sz="0" w:space="0" w:color="auto"/>
              </w:divBdr>
            </w:div>
            <w:div w:id="1982732164">
              <w:marLeft w:val="0"/>
              <w:marRight w:val="0"/>
              <w:marTop w:val="0"/>
              <w:marBottom w:val="0"/>
              <w:divBdr>
                <w:top w:val="none" w:sz="0" w:space="0" w:color="auto"/>
                <w:left w:val="none" w:sz="0" w:space="0" w:color="auto"/>
                <w:bottom w:val="none" w:sz="0" w:space="0" w:color="auto"/>
                <w:right w:val="none" w:sz="0" w:space="0" w:color="auto"/>
              </w:divBdr>
            </w:div>
          </w:divsChild>
        </w:div>
        <w:div w:id="1666862816">
          <w:marLeft w:val="0"/>
          <w:marRight w:val="0"/>
          <w:marTop w:val="0"/>
          <w:marBottom w:val="0"/>
          <w:divBdr>
            <w:top w:val="none" w:sz="0" w:space="0" w:color="auto"/>
            <w:left w:val="none" w:sz="0" w:space="0" w:color="auto"/>
            <w:bottom w:val="none" w:sz="0" w:space="0" w:color="auto"/>
            <w:right w:val="none" w:sz="0" w:space="0" w:color="auto"/>
          </w:divBdr>
          <w:divsChild>
            <w:div w:id="2081323197">
              <w:marLeft w:val="0"/>
              <w:marRight w:val="0"/>
              <w:marTop w:val="0"/>
              <w:marBottom w:val="0"/>
              <w:divBdr>
                <w:top w:val="none" w:sz="0" w:space="0" w:color="auto"/>
                <w:left w:val="none" w:sz="0" w:space="0" w:color="auto"/>
                <w:bottom w:val="none" w:sz="0" w:space="0" w:color="auto"/>
                <w:right w:val="none" w:sz="0" w:space="0" w:color="auto"/>
              </w:divBdr>
            </w:div>
            <w:div w:id="79527397">
              <w:marLeft w:val="0"/>
              <w:marRight w:val="0"/>
              <w:marTop w:val="0"/>
              <w:marBottom w:val="0"/>
              <w:divBdr>
                <w:top w:val="none" w:sz="0" w:space="0" w:color="auto"/>
                <w:left w:val="none" w:sz="0" w:space="0" w:color="auto"/>
                <w:bottom w:val="none" w:sz="0" w:space="0" w:color="auto"/>
                <w:right w:val="none" w:sz="0" w:space="0" w:color="auto"/>
              </w:divBdr>
            </w:div>
          </w:divsChild>
        </w:div>
        <w:div w:id="2064256503">
          <w:marLeft w:val="0"/>
          <w:marRight w:val="0"/>
          <w:marTop w:val="0"/>
          <w:marBottom w:val="0"/>
          <w:divBdr>
            <w:top w:val="none" w:sz="0" w:space="0" w:color="auto"/>
            <w:left w:val="none" w:sz="0" w:space="0" w:color="auto"/>
            <w:bottom w:val="none" w:sz="0" w:space="0" w:color="auto"/>
            <w:right w:val="none" w:sz="0" w:space="0" w:color="auto"/>
          </w:divBdr>
        </w:div>
        <w:div w:id="1165708327">
          <w:marLeft w:val="0"/>
          <w:marRight w:val="0"/>
          <w:marTop w:val="0"/>
          <w:marBottom w:val="0"/>
          <w:divBdr>
            <w:top w:val="none" w:sz="0" w:space="0" w:color="auto"/>
            <w:left w:val="none" w:sz="0" w:space="0" w:color="auto"/>
            <w:bottom w:val="none" w:sz="0" w:space="0" w:color="auto"/>
            <w:right w:val="none" w:sz="0" w:space="0" w:color="auto"/>
          </w:divBdr>
        </w:div>
        <w:div w:id="530458025">
          <w:marLeft w:val="0"/>
          <w:marRight w:val="0"/>
          <w:marTop w:val="0"/>
          <w:marBottom w:val="0"/>
          <w:divBdr>
            <w:top w:val="none" w:sz="0" w:space="0" w:color="auto"/>
            <w:left w:val="none" w:sz="0" w:space="0" w:color="auto"/>
            <w:bottom w:val="none" w:sz="0" w:space="0" w:color="auto"/>
            <w:right w:val="none" w:sz="0" w:space="0" w:color="auto"/>
          </w:divBdr>
        </w:div>
        <w:div w:id="1733381661">
          <w:marLeft w:val="0"/>
          <w:marRight w:val="0"/>
          <w:marTop w:val="0"/>
          <w:marBottom w:val="0"/>
          <w:divBdr>
            <w:top w:val="none" w:sz="0" w:space="0" w:color="auto"/>
            <w:left w:val="none" w:sz="0" w:space="0" w:color="auto"/>
            <w:bottom w:val="none" w:sz="0" w:space="0" w:color="auto"/>
            <w:right w:val="none" w:sz="0" w:space="0" w:color="auto"/>
          </w:divBdr>
        </w:div>
        <w:div w:id="1449466493">
          <w:marLeft w:val="0"/>
          <w:marRight w:val="0"/>
          <w:marTop w:val="0"/>
          <w:marBottom w:val="0"/>
          <w:divBdr>
            <w:top w:val="none" w:sz="0" w:space="0" w:color="auto"/>
            <w:left w:val="none" w:sz="0" w:space="0" w:color="auto"/>
            <w:bottom w:val="none" w:sz="0" w:space="0" w:color="auto"/>
            <w:right w:val="none" w:sz="0" w:space="0" w:color="auto"/>
          </w:divBdr>
        </w:div>
        <w:div w:id="1016738582">
          <w:marLeft w:val="0"/>
          <w:marRight w:val="0"/>
          <w:marTop w:val="0"/>
          <w:marBottom w:val="0"/>
          <w:divBdr>
            <w:top w:val="none" w:sz="0" w:space="0" w:color="auto"/>
            <w:left w:val="none" w:sz="0" w:space="0" w:color="auto"/>
            <w:bottom w:val="none" w:sz="0" w:space="0" w:color="auto"/>
            <w:right w:val="none" w:sz="0" w:space="0" w:color="auto"/>
          </w:divBdr>
        </w:div>
        <w:div w:id="1821117185">
          <w:marLeft w:val="0"/>
          <w:marRight w:val="0"/>
          <w:marTop w:val="0"/>
          <w:marBottom w:val="0"/>
          <w:divBdr>
            <w:top w:val="none" w:sz="0" w:space="0" w:color="auto"/>
            <w:left w:val="none" w:sz="0" w:space="0" w:color="auto"/>
            <w:bottom w:val="none" w:sz="0" w:space="0" w:color="auto"/>
            <w:right w:val="none" w:sz="0" w:space="0" w:color="auto"/>
          </w:divBdr>
        </w:div>
        <w:div w:id="823475918">
          <w:marLeft w:val="0"/>
          <w:marRight w:val="0"/>
          <w:marTop w:val="0"/>
          <w:marBottom w:val="0"/>
          <w:divBdr>
            <w:top w:val="none" w:sz="0" w:space="0" w:color="auto"/>
            <w:left w:val="none" w:sz="0" w:space="0" w:color="auto"/>
            <w:bottom w:val="none" w:sz="0" w:space="0" w:color="auto"/>
            <w:right w:val="none" w:sz="0" w:space="0" w:color="auto"/>
          </w:divBdr>
        </w:div>
        <w:div w:id="2103255854">
          <w:marLeft w:val="0"/>
          <w:marRight w:val="0"/>
          <w:marTop w:val="0"/>
          <w:marBottom w:val="0"/>
          <w:divBdr>
            <w:top w:val="none" w:sz="0" w:space="0" w:color="auto"/>
            <w:left w:val="none" w:sz="0" w:space="0" w:color="auto"/>
            <w:bottom w:val="none" w:sz="0" w:space="0" w:color="auto"/>
            <w:right w:val="none" w:sz="0" w:space="0" w:color="auto"/>
          </w:divBdr>
        </w:div>
        <w:div w:id="1064059343">
          <w:marLeft w:val="0"/>
          <w:marRight w:val="0"/>
          <w:marTop w:val="0"/>
          <w:marBottom w:val="0"/>
          <w:divBdr>
            <w:top w:val="none" w:sz="0" w:space="0" w:color="auto"/>
            <w:left w:val="none" w:sz="0" w:space="0" w:color="auto"/>
            <w:bottom w:val="none" w:sz="0" w:space="0" w:color="auto"/>
            <w:right w:val="none" w:sz="0" w:space="0" w:color="auto"/>
          </w:divBdr>
        </w:div>
        <w:div w:id="807435027">
          <w:marLeft w:val="0"/>
          <w:marRight w:val="0"/>
          <w:marTop w:val="0"/>
          <w:marBottom w:val="0"/>
          <w:divBdr>
            <w:top w:val="none" w:sz="0" w:space="0" w:color="auto"/>
            <w:left w:val="none" w:sz="0" w:space="0" w:color="auto"/>
            <w:bottom w:val="none" w:sz="0" w:space="0" w:color="auto"/>
            <w:right w:val="none" w:sz="0" w:space="0" w:color="auto"/>
          </w:divBdr>
        </w:div>
        <w:div w:id="952901446">
          <w:marLeft w:val="0"/>
          <w:marRight w:val="0"/>
          <w:marTop w:val="0"/>
          <w:marBottom w:val="0"/>
          <w:divBdr>
            <w:top w:val="none" w:sz="0" w:space="0" w:color="auto"/>
            <w:left w:val="none" w:sz="0" w:space="0" w:color="auto"/>
            <w:bottom w:val="none" w:sz="0" w:space="0" w:color="auto"/>
            <w:right w:val="none" w:sz="0" w:space="0" w:color="auto"/>
          </w:divBdr>
        </w:div>
        <w:div w:id="1323972542">
          <w:marLeft w:val="0"/>
          <w:marRight w:val="0"/>
          <w:marTop w:val="0"/>
          <w:marBottom w:val="0"/>
          <w:divBdr>
            <w:top w:val="none" w:sz="0" w:space="0" w:color="auto"/>
            <w:left w:val="none" w:sz="0" w:space="0" w:color="auto"/>
            <w:bottom w:val="none" w:sz="0" w:space="0" w:color="auto"/>
            <w:right w:val="none" w:sz="0" w:space="0" w:color="auto"/>
          </w:divBdr>
        </w:div>
        <w:div w:id="156043142">
          <w:marLeft w:val="0"/>
          <w:marRight w:val="0"/>
          <w:marTop w:val="0"/>
          <w:marBottom w:val="0"/>
          <w:divBdr>
            <w:top w:val="none" w:sz="0" w:space="0" w:color="auto"/>
            <w:left w:val="none" w:sz="0" w:space="0" w:color="auto"/>
            <w:bottom w:val="none" w:sz="0" w:space="0" w:color="auto"/>
            <w:right w:val="none" w:sz="0" w:space="0" w:color="auto"/>
          </w:divBdr>
        </w:div>
        <w:div w:id="458761689">
          <w:marLeft w:val="0"/>
          <w:marRight w:val="0"/>
          <w:marTop w:val="0"/>
          <w:marBottom w:val="0"/>
          <w:divBdr>
            <w:top w:val="none" w:sz="0" w:space="0" w:color="auto"/>
            <w:left w:val="none" w:sz="0" w:space="0" w:color="auto"/>
            <w:bottom w:val="none" w:sz="0" w:space="0" w:color="auto"/>
            <w:right w:val="none" w:sz="0" w:space="0" w:color="auto"/>
          </w:divBdr>
        </w:div>
        <w:div w:id="333461120">
          <w:marLeft w:val="0"/>
          <w:marRight w:val="0"/>
          <w:marTop w:val="0"/>
          <w:marBottom w:val="0"/>
          <w:divBdr>
            <w:top w:val="none" w:sz="0" w:space="0" w:color="auto"/>
            <w:left w:val="none" w:sz="0" w:space="0" w:color="auto"/>
            <w:bottom w:val="none" w:sz="0" w:space="0" w:color="auto"/>
            <w:right w:val="none" w:sz="0" w:space="0" w:color="auto"/>
          </w:divBdr>
        </w:div>
        <w:div w:id="1928617499">
          <w:marLeft w:val="0"/>
          <w:marRight w:val="0"/>
          <w:marTop w:val="0"/>
          <w:marBottom w:val="0"/>
          <w:divBdr>
            <w:top w:val="none" w:sz="0" w:space="0" w:color="auto"/>
            <w:left w:val="none" w:sz="0" w:space="0" w:color="auto"/>
            <w:bottom w:val="none" w:sz="0" w:space="0" w:color="auto"/>
            <w:right w:val="none" w:sz="0" w:space="0" w:color="auto"/>
          </w:divBdr>
        </w:div>
        <w:div w:id="1482230221">
          <w:marLeft w:val="0"/>
          <w:marRight w:val="0"/>
          <w:marTop w:val="0"/>
          <w:marBottom w:val="0"/>
          <w:divBdr>
            <w:top w:val="none" w:sz="0" w:space="0" w:color="auto"/>
            <w:left w:val="none" w:sz="0" w:space="0" w:color="auto"/>
            <w:bottom w:val="none" w:sz="0" w:space="0" w:color="auto"/>
            <w:right w:val="none" w:sz="0" w:space="0" w:color="auto"/>
          </w:divBdr>
        </w:div>
        <w:div w:id="251934234">
          <w:marLeft w:val="0"/>
          <w:marRight w:val="0"/>
          <w:marTop w:val="0"/>
          <w:marBottom w:val="0"/>
          <w:divBdr>
            <w:top w:val="none" w:sz="0" w:space="0" w:color="auto"/>
            <w:left w:val="none" w:sz="0" w:space="0" w:color="auto"/>
            <w:bottom w:val="none" w:sz="0" w:space="0" w:color="auto"/>
            <w:right w:val="none" w:sz="0" w:space="0" w:color="auto"/>
          </w:divBdr>
        </w:div>
        <w:div w:id="208343900">
          <w:marLeft w:val="0"/>
          <w:marRight w:val="0"/>
          <w:marTop w:val="0"/>
          <w:marBottom w:val="0"/>
          <w:divBdr>
            <w:top w:val="none" w:sz="0" w:space="0" w:color="auto"/>
            <w:left w:val="none" w:sz="0" w:space="0" w:color="auto"/>
            <w:bottom w:val="none" w:sz="0" w:space="0" w:color="auto"/>
            <w:right w:val="none" w:sz="0" w:space="0" w:color="auto"/>
          </w:divBdr>
        </w:div>
        <w:div w:id="1198394588">
          <w:marLeft w:val="0"/>
          <w:marRight w:val="0"/>
          <w:marTop w:val="0"/>
          <w:marBottom w:val="0"/>
          <w:divBdr>
            <w:top w:val="none" w:sz="0" w:space="0" w:color="auto"/>
            <w:left w:val="none" w:sz="0" w:space="0" w:color="auto"/>
            <w:bottom w:val="none" w:sz="0" w:space="0" w:color="auto"/>
            <w:right w:val="none" w:sz="0" w:space="0" w:color="auto"/>
          </w:divBdr>
        </w:div>
        <w:div w:id="1919827944">
          <w:marLeft w:val="0"/>
          <w:marRight w:val="0"/>
          <w:marTop w:val="0"/>
          <w:marBottom w:val="0"/>
          <w:divBdr>
            <w:top w:val="none" w:sz="0" w:space="0" w:color="auto"/>
            <w:left w:val="none" w:sz="0" w:space="0" w:color="auto"/>
            <w:bottom w:val="none" w:sz="0" w:space="0" w:color="auto"/>
            <w:right w:val="none" w:sz="0" w:space="0" w:color="auto"/>
          </w:divBdr>
        </w:div>
        <w:div w:id="1130436036">
          <w:marLeft w:val="0"/>
          <w:marRight w:val="0"/>
          <w:marTop w:val="0"/>
          <w:marBottom w:val="0"/>
          <w:divBdr>
            <w:top w:val="none" w:sz="0" w:space="0" w:color="auto"/>
            <w:left w:val="none" w:sz="0" w:space="0" w:color="auto"/>
            <w:bottom w:val="none" w:sz="0" w:space="0" w:color="auto"/>
            <w:right w:val="none" w:sz="0" w:space="0" w:color="auto"/>
          </w:divBdr>
        </w:div>
        <w:div w:id="42170558">
          <w:marLeft w:val="0"/>
          <w:marRight w:val="0"/>
          <w:marTop w:val="0"/>
          <w:marBottom w:val="0"/>
          <w:divBdr>
            <w:top w:val="none" w:sz="0" w:space="0" w:color="auto"/>
            <w:left w:val="none" w:sz="0" w:space="0" w:color="auto"/>
            <w:bottom w:val="none" w:sz="0" w:space="0" w:color="auto"/>
            <w:right w:val="none" w:sz="0" w:space="0" w:color="auto"/>
          </w:divBdr>
        </w:div>
        <w:div w:id="882711031">
          <w:marLeft w:val="0"/>
          <w:marRight w:val="0"/>
          <w:marTop w:val="0"/>
          <w:marBottom w:val="0"/>
          <w:divBdr>
            <w:top w:val="none" w:sz="0" w:space="0" w:color="auto"/>
            <w:left w:val="none" w:sz="0" w:space="0" w:color="auto"/>
            <w:bottom w:val="none" w:sz="0" w:space="0" w:color="auto"/>
            <w:right w:val="none" w:sz="0" w:space="0" w:color="auto"/>
          </w:divBdr>
        </w:div>
        <w:div w:id="728842740">
          <w:marLeft w:val="0"/>
          <w:marRight w:val="0"/>
          <w:marTop w:val="0"/>
          <w:marBottom w:val="0"/>
          <w:divBdr>
            <w:top w:val="none" w:sz="0" w:space="0" w:color="auto"/>
            <w:left w:val="none" w:sz="0" w:space="0" w:color="auto"/>
            <w:bottom w:val="none" w:sz="0" w:space="0" w:color="auto"/>
            <w:right w:val="none" w:sz="0" w:space="0" w:color="auto"/>
          </w:divBdr>
        </w:div>
        <w:div w:id="1457484239">
          <w:marLeft w:val="0"/>
          <w:marRight w:val="0"/>
          <w:marTop w:val="0"/>
          <w:marBottom w:val="0"/>
          <w:divBdr>
            <w:top w:val="none" w:sz="0" w:space="0" w:color="auto"/>
            <w:left w:val="none" w:sz="0" w:space="0" w:color="auto"/>
            <w:bottom w:val="none" w:sz="0" w:space="0" w:color="auto"/>
            <w:right w:val="none" w:sz="0" w:space="0" w:color="auto"/>
          </w:divBdr>
        </w:div>
      </w:divsChild>
    </w:div>
    <w:div w:id="20214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D59B7E23F7E940B2BF5E8D92A6E20E" ma:contentTypeVersion="11" ma:contentTypeDescription="Create a new document." ma:contentTypeScope="" ma:versionID="2a95f9d0f8d6f26c65ba02938108fb2e">
  <xsd:schema xmlns:xsd="http://www.w3.org/2001/XMLSchema" xmlns:xs="http://www.w3.org/2001/XMLSchema" xmlns:p="http://schemas.microsoft.com/office/2006/metadata/properties" xmlns:ns2="796d7d6b-5648-4859-8d6f-fac92654699f" xmlns:ns3="d18ada8a-8810-4ee4-b772-92a78d4b82a1" targetNamespace="http://schemas.microsoft.com/office/2006/metadata/properties" ma:root="true" ma:fieldsID="ef303ded88a6a54377c9e2f23951bbab" ns2:_="" ns3:_="">
    <xsd:import namespace="796d7d6b-5648-4859-8d6f-fac92654699f"/>
    <xsd:import namespace="d18ada8a-8810-4ee4-b772-92a78d4b82a1"/>
    <xsd:element name="properties">
      <xsd:complexType>
        <xsd:sequence>
          <xsd:element name="documentManagement">
            <xsd:complexType>
              <xsd:all>
                <xsd:element ref="ns2:aa3d09a249ee4a26af983067b22fef2b"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0191a7efebd42de8ee417b1d6e66b7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d7d6b-5648-4859-8d6f-fac92654699f" elementFormDefault="qualified">
    <xsd:import namespace="http://schemas.microsoft.com/office/2006/documentManagement/types"/>
    <xsd:import namespace="http://schemas.microsoft.com/office/infopath/2007/PartnerControls"/>
    <xsd:element name="aa3d09a249ee4a26af983067b22fef2b" ma:index="9" nillable="true" ma:taxonomy="true" ma:internalName="aa3d09a249ee4a26af983067b22fef2b" ma:taxonomyFieldName="Category" ma:displayName="Category" ma:default="" ma:fieldId="{aa3d09a2-49ee-4a26-af98-3067b22fef2b}" ma:sspId="3110710f-af1f-4457-9596-69bff0e43749" ma:termSetId="d3f3c56b-b17a-4888-8ce8-fb45c0cd6958"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a0191a7efebd42de8ee417b1d6e66b72" ma:index="18" nillable="true" ma:taxonomy="true" ma:internalName="a0191a7efebd42de8ee417b1d6e66b72" ma:taxonomyFieldName="Sub_x0020_Category" ma:displayName="Sub Category" ma:default="" ma:fieldId="{a0191a7e-febd-42de-8ee4-17b1d6e66b72}" ma:sspId="3110710f-af1f-4457-9596-69bff0e43749" ma:termSetId="d3f3c56b-b17a-4888-8ce8-fb45c0cd695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8ada8a-8810-4ee4-b772-92a78d4b82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39f5884-8519-4fe2-ab1a-651dd437d83a}" ma:internalName="TaxCatchAll" ma:showField="CatchAllData" ma:web="d18ada8a-8810-4ee4-b772-92a78d4b82a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0191a7efebd42de8ee417b1d6e66b72 xmlns="796d7d6b-5648-4859-8d6f-fac92654699f">
      <Terms xmlns="http://schemas.microsoft.com/office/infopath/2007/PartnerControls">
        <TermInfo xmlns="http://schemas.microsoft.com/office/infopath/2007/PartnerControls">
          <TermName xmlns="http://schemas.microsoft.com/office/infopath/2007/PartnerControls">Steering Committee</TermName>
          <TermId xmlns="http://schemas.microsoft.com/office/infopath/2007/PartnerControls">36399b70-580d-442b-a916-751c75f46eef</TermId>
        </TermInfo>
      </Terms>
    </a0191a7efebd42de8ee417b1d6e66b72>
    <TaxCatchAll xmlns="d18ada8a-8810-4ee4-b772-92a78d4b82a1">
      <Value>179</Value>
      <Value>178</Value>
    </TaxCatchAll>
    <aa3d09a249ee4a26af983067b22fef2b xmlns="796d7d6b-5648-4859-8d6f-fac92654699f">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fc2ae1c7-8864-48fa-8419-2a725af3ae81</TermId>
        </TermInfo>
      </Terms>
    </aa3d09a249ee4a26af983067b22fef2b>
  </documentManagement>
</p:properties>
</file>

<file path=customXml/itemProps1.xml><?xml version="1.0" encoding="utf-8"?>
<ds:datastoreItem xmlns:ds="http://schemas.openxmlformats.org/officeDocument/2006/customXml" ds:itemID="{042A3B6B-02C9-40F1-9B20-05DB4138F6C4}">
  <ds:schemaRefs>
    <ds:schemaRef ds:uri="http://schemas.openxmlformats.org/officeDocument/2006/bibliography"/>
  </ds:schemaRefs>
</ds:datastoreItem>
</file>

<file path=customXml/itemProps2.xml><?xml version="1.0" encoding="utf-8"?>
<ds:datastoreItem xmlns:ds="http://schemas.openxmlformats.org/officeDocument/2006/customXml" ds:itemID="{84474C63-63AB-4B33-BABF-E44EB641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d7d6b-5648-4859-8d6f-fac92654699f"/>
    <ds:schemaRef ds:uri="d18ada8a-8810-4ee4-b772-92a78d4b8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4CF7B-EE89-4347-8368-548F509EC86C}">
  <ds:schemaRefs>
    <ds:schemaRef ds:uri="http://schemas.microsoft.com/sharepoint/v3/contenttype/forms"/>
  </ds:schemaRefs>
</ds:datastoreItem>
</file>

<file path=customXml/itemProps4.xml><?xml version="1.0" encoding="utf-8"?>
<ds:datastoreItem xmlns:ds="http://schemas.openxmlformats.org/officeDocument/2006/customXml" ds:itemID="{50976223-33C4-4649-8D51-7A8031F89F50}">
  <ds:schemaRefs>
    <ds:schemaRef ds:uri="http://schemas.microsoft.com/office/2006/metadata/properties"/>
    <ds:schemaRef ds:uri="http://schemas.microsoft.com/office/infopath/2007/PartnerControls"/>
    <ds:schemaRef ds:uri="796d7d6b-5648-4859-8d6f-fac92654699f"/>
    <ds:schemaRef ds:uri="d18ada8a-8810-4ee4-b772-92a78d4b82a1"/>
  </ds:schemaRefs>
</ds:datastoreItem>
</file>

<file path=docMetadata/LabelInfo.xml><?xml version="1.0" encoding="utf-8"?>
<clbl:labelList xmlns:clbl="http://schemas.microsoft.com/office/2020/mipLabelMetadata">
  <clbl:label id="{e681c59d-868e-4887-80fa-ce36f1f21b0f}" enabled="0" method="" siteId="{e681c59d-868e-4887-80fa-ce36f1f21b0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Oil and Gas Authority</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Zuckschwerdt (Oil &amp; Gas Authority)</dc:creator>
  <cp:keywords/>
  <dc:description/>
  <cp:lastModifiedBy>Ian Furneaux (North Sea Transition Authority)</cp:lastModifiedBy>
  <cp:revision>2</cp:revision>
  <dcterms:created xsi:type="dcterms:W3CDTF">2024-12-16T11:17:00Z</dcterms:created>
  <dcterms:modified xsi:type="dcterms:W3CDTF">2024-12-16T11:17:00Z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0x010100EFD59B7E23F7E940B2BF5E8D92A6E20E</vt:lpwstr>
  </property>
  <property fmtid="{D5CDD505-2E9C-101B-9397-08002B2CF9AE}" pid="3" name="Sub_x0020_Category">
    <vt:lpwstr/>
  </property>
  <property fmtid="{D5CDD505-2E9C-101B-9397-08002B2CF9AE}" pid="4" name="Category">
    <vt:lpwstr>178;#Governance|fc2ae1c7-8864-48fa-8419-2a725af3ae81</vt:lpwstr>
  </property>
  <property fmtid="{D5CDD505-2E9C-101B-9397-08002B2CF9AE}" pid="5" name="Sub Category">
    <vt:lpwstr>179;#Steering Committee|36399b70-580d-442b-a916-751c75f46eef</vt:lpwstr>
  </property>
</Properties>
</file>