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24437" w14:textId="77777777" w:rsidR="00792835" w:rsidRDefault="00792835" w:rsidP="24939015">
      <w:pPr>
        <w:spacing w:before="100" w:beforeAutospacing="1" w:after="240" w:line="240" w:lineRule="auto"/>
        <w:outlineLvl w:val="1"/>
        <w:rPr>
          <w:rFonts w:eastAsia="Times New Roman"/>
          <w:b/>
          <w:bCs/>
          <w:sz w:val="22"/>
          <w:szCs w:val="22"/>
          <w:lang w:eastAsia="en-GB"/>
        </w:rPr>
      </w:pPr>
    </w:p>
    <w:p w14:paraId="2BFFB354" w14:textId="15FB344E" w:rsidR="00CD70B2" w:rsidRPr="002F0BAA" w:rsidRDefault="00CD70B2" w:rsidP="24939015">
      <w:pPr>
        <w:spacing w:before="100" w:beforeAutospacing="1" w:after="240" w:line="240" w:lineRule="auto"/>
        <w:outlineLvl w:val="1"/>
        <w:rPr>
          <w:rFonts w:eastAsia="Times New Roman"/>
          <w:b/>
          <w:bCs/>
          <w:sz w:val="22"/>
          <w:szCs w:val="22"/>
          <w:lang w:eastAsia="en-GB"/>
        </w:rPr>
      </w:pPr>
      <w:r w:rsidRPr="24939015">
        <w:rPr>
          <w:rFonts w:eastAsia="Times New Roman"/>
          <w:b/>
          <w:bCs/>
          <w:sz w:val="22"/>
          <w:szCs w:val="22"/>
          <w:lang w:eastAsia="en-GB"/>
        </w:rPr>
        <w:t>Terms of reference</w:t>
      </w:r>
    </w:p>
    <w:p w14:paraId="0B8F79AE" w14:textId="3362C515" w:rsidR="00CD70B2" w:rsidRPr="002F0BAA" w:rsidRDefault="00394148" w:rsidP="00CD70B2">
      <w:pPr>
        <w:spacing w:before="240" w:after="240" w:line="240" w:lineRule="auto"/>
        <w:outlineLvl w:val="2"/>
        <w:rPr>
          <w:rFonts w:eastAsia="Times New Roman"/>
          <w:b/>
          <w:bCs/>
          <w:sz w:val="22"/>
          <w:szCs w:val="22"/>
          <w:lang w:eastAsia="en-GB"/>
        </w:rPr>
      </w:pPr>
      <w:r w:rsidRPr="002F0BAA">
        <w:rPr>
          <w:rFonts w:eastAsia="Times New Roman"/>
          <w:b/>
          <w:bCs/>
          <w:sz w:val="22"/>
          <w:szCs w:val="22"/>
          <w:lang w:eastAsia="en-GB"/>
        </w:rPr>
        <w:t>Background</w:t>
      </w:r>
    </w:p>
    <w:p w14:paraId="1589CA68" w14:textId="644FFDA8" w:rsidR="00916111" w:rsidRDefault="00505A7A" w:rsidP="00290263">
      <w:pPr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</w:t>
      </w:r>
      <w:r w:rsidR="00290263" w:rsidRPr="002F0BAA">
        <w:rPr>
          <w:rFonts w:eastAsia="Calibri"/>
          <w:sz w:val="22"/>
          <w:szCs w:val="22"/>
        </w:rPr>
        <w:t xml:space="preserve">he </w:t>
      </w:r>
      <w:hyperlink r:id="rId11" w:history="1">
        <w:r w:rsidR="005B5683" w:rsidRPr="00B21236">
          <w:rPr>
            <w:rStyle w:val="Hyperlink"/>
            <w:rFonts w:eastAsia="Calibri"/>
            <w:sz w:val="22"/>
            <w:szCs w:val="22"/>
          </w:rPr>
          <w:t>Well Decommissioning Steering Group</w:t>
        </w:r>
      </w:hyperlink>
      <w:r w:rsidR="00290263" w:rsidRPr="002F0BAA">
        <w:rPr>
          <w:rFonts w:eastAsia="Calibri"/>
          <w:sz w:val="22"/>
          <w:szCs w:val="22"/>
        </w:rPr>
        <w:t xml:space="preserve"> </w:t>
      </w:r>
      <w:r w:rsidR="00A17661">
        <w:rPr>
          <w:rFonts w:eastAsia="Calibri"/>
          <w:sz w:val="22"/>
          <w:szCs w:val="22"/>
        </w:rPr>
        <w:t>is</w:t>
      </w:r>
      <w:r w:rsidR="005D34C5">
        <w:rPr>
          <w:rFonts w:eastAsia="Calibri"/>
          <w:sz w:val="22"/>
          <w:szCs w:val="22"/>
        </w:rPr>
        <w:t xml:space="preserve"> </w:t>
      </w:r>
      <w:r w:rsidR="00290263" w:rsidRPr="002F0BAA">
        <w:rPr>
          <w:rFonts w:eastAsia="Calibri"/>
          <w:sz w:val="22"/>
          <w:szCs w:val="22"/>
        </w:rPr>
        <w:t xml:space="preserve">part of the </w:t>
      </w:r>
      <w:hyperlink r:id="rId12" w:history="1">
        <w:r w:rsidR="00EB7BF9" w:rsidRPr="005F2F69">
          <w:rPr>
            <w:rStyle w:val="Hyperlink"/>
            <w:rFonts w:eastAsia="Calibri"/>
            <w:sz w:val="22"/>
            <w:szCs w:val="22"/>
          </w:rPr>
          <w:t>North Sea Transition Forum</w:t>
        </w:r>
        <w:r w:rsidR="00290263" w:rsidRPr="005F2F69">
          <w:rPr>
            <w:rStyle w:val="Hyperlink"/>
            <w:rFonts w:eastAsia="Calibri"/>
            <w:sz w:val="22"/>
            <w:szCs w:val="22"/>
          </w:rPr>
          <w:t xml:space="preserve"> Wells Task Force</w:t>
        </w:r>
        <w:r w:rsidR="00C50E8D" w:rsidRPr="005F2F69">
          <w:rPr>
            <w:rStyle w:val="Hyperlink"/>
            <w:rFonts w:eastAsia="Calibri"/>
            <w:sz w:val="22"/>
            <w:szCs w:val="22"/>
          </w:rPr>
          <w:t>.</w:t>
        </w:r>
      </w:hyperlink>
      <w:r w:rsidR="001B08CB">
        <w:rPr>
          <w:rFonts w:eastAsia="Calibri"/>
          <w:sz w:val="22"/>
          <w:szCs w:val="22"/>
        </w:rPr>
        <w:t xml:space="preserve"> </w:t>
      </w:r>
      <w:r w:rsidR="00C50E8D">
        <w:rPr>
          <w:rFonts w:eastAsia="Calibri"/>
          <w:sz w:val="22"/>
          <w:szCs w:val="22"/>
        </w:rPr>
        <w:t xml:space="preserve">It works alongside the </w:t>
      </w:r>
      <w:hyperlink r:id="rId13" w:history="1">
        <w:r w:rsidR="00C50E8D" w:rsidRPr="002226D2">
          <w:rPr>
            <w:rStyle w:val="Hyperlink"/>
            <w:rFonts w:eastAsia="Calibri"/>
            <w:sz w:val="22"/>
            <w:szCs w:val="22"/>
          </w:rPr>
          <w:t>Decommissioning and Repurposing Taskforce</w:t>
        </w:r>
        <w:r w:rsidR="0070370B" w:rsidRPr="002226D2">
          <w:rPr>
            <w:rStyle w:val="Hyperlink"/>
            <w:rFonts w:eastAsia="Calibri"/>
            <w:sz w:val="22"/>
            <w:szCs w:val="22"/>
          </w:rPr>
          <w:t xml:space="preserve"> (DaRT</w:t>
        </w:r>
      </w:hyperlink>
      <w:r w:rsidR="0070370B">
        <w:rPr>
          <w:rFonts w:eastAsia="Calibri"/>
          <w:sz w:val="22"/>
          <w:szCs w:val="22"/>
        </w:rPr>
        <w:t>)</w:t>
      </w:r>
      <w:r w:rsidR="00C50E8D">
        <w:rPr>
          <w:rFonts w:eastAsia="Calibri"/>
          <w:sz w:val="22"/>
          <w:szCs w:val="22"/>
        </w:rPr>
        <w:t xml:space="preserve"> </w:t>
      </w:r>
      <w:r w:rsidR="001B08CB">
        <w:rPr>
          <w:rFonts w:eastAsia="Calibri"/>
          <w:sz w:val="22"/>
          <w:szCs w:val="22"/>
        </w:rPr>
        <w:t xml:space="preserve">to </w:t>
      </w:r>
      <w:r w:rsidR="009E5029">
        <w:rPr>
          <w:rFonts w:eastAsia="Calibri"/>
          <w:sz w:val="22"/>
          <w:szCs w:val="22"/>
        </w:rPr>
        <w:t>drive alignment, ac</w:t>
      </w:r>
      <w:r>
        <w:rPr>
          <w:rFonts w:eastAsia="Calibri"/>
          <w:sz w:val="22"/>
          <w:szCs w:val="22"/>
        </w:rPr>
        <w:t>countability</w:t>
      </w:r>
      <w:r w:rsidR="00FE50FB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and action to deliver </w:t>
      </w:r>
      <w:r w:rsidR="00D24FF6">
        <w:rPr>
          <w:rFonts w:eastAsia="Calibri"/>
          <w:sz w:val="22"/>
          <w:szCs w:val="22"/>
        </w:rPr>
        <w:t xml:space="preserve">cost efficient </w:t>
      </w:r>
      <w:r w:rsidR="00EF2A79">
        <w:rPr>
          <w:rFonts w:eastAsia="Calibri"/>
          <w:sz w:val="22"/>
          <w:szCs w:val="22"/>
        </w:rPr>
        <w:t xml:space="preserve">well </w:t>
      </w:r>
      <w:r w:rsidR="00D24FF6">
        <w:rPr>
          <w:rFonts w:eastAsia="Calibri"/>
          <w:sz w:val="22"/>
          <w:szCs w:val="22"/>
        </w:rPr>
        <w:t>decommissioning</w:t>
      </w:r>
      <w:r w:rsidR="005D34C5">
        <w:rPr>
          <w:rFonts w:eastAsia="Calibri"/>
          <w:sz w:val="22"/>
          <w:szCs w:val="22"/>
        </w:rPr>
        <w:t xml:space="preserve"> and support the UK government’s net zero ambitions</w:t>
      </w:r>
      <w:r w:rsidR="00916111">
        <w:rPr>
          <w:rFonts w:eastAsia="Calibri"/>
          <w:sz w:val="22"/>
          <w:szCs w:val="22"/>
        </w:rPr>
        <w:t xml:space="preserve">. </w:t>
      </w:r>
    </w:p>
    <w:p w14:paraId="021FE229" w14:textId="308B51A5" w:rsidR="00916111" w:rsidRDefault="00916111" w:rsidP="00290263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33765CD" w14:textId="7F1C8079" w:rsidR="00BE53F9" w:rsidRPr="002F0BAA" w:rsidRDefault="00BE53F9" w:rsidP="00BE53F9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F0BAA">
        <w:rPr>
          <w:rFonts w:eastAsia="Calibri"/>
          <w:sz w:val="22"/>
          <w:szCs w:val="22"/>
        </w:rPr>
        <w:t xml:space="preserve">It is </w:t>
      </w:r>
      <w:r>
        <w:rPr>
          <w:rFonts w:eastAsia="Calibri"/>
          <w:sz w:val="22"/>
          <w:szCs w:val="22"/>
        </w:rPr>
        <w:t>recognised</w:t>
      </w:r>
      <w:r w:rsidRPr="002F0BAA">
        <w:rPr>
          <w:rFonts w:eastAsia="Calibri"/>
          <w:sz w:val="22"/>
          <w:szCs w:val="22"/>
        </w:rPr>
        <w:t xml:space="preserve"> that opportunities exist to </w:t>
      </w:r>
      <w:r w:rsidR="00E72084">
        <w:rPr>
          <w:rFonts w:eastAsia="Calibri"/>
          <w:sz w:val="22"/>
          <w:szCs w:val="22"/>
        </w:rPr>
        <w:t>further</w:t>
      </w:r>
      <w:r w:rsidR="00E72084" w:rsidRPr="002F0BAA">
        <w:rPr>
          <w:rFonts w:eastAsia="Calibri"/>
          <w:sz w:val="22"/>
          <w:szCs w:val="22"/>
        </w:rPr>
        <w:t xml:space="preserve"> </w:t>
      </w:r>
      <w:r w:rsidRPr="002F0BAA">
        <w:rPr>
          <w:rFonts w:eastAsia="Calibri"/>
          <w:sz w:val="22"/>
          <w:szCs w:val="22"/>
        </w:rPr>
        <w:t xml:space="preserve">reduce future </w:t>
      </w:r>
      <w:r w:rsidR="00EF2A79">
        <w:rPr>
          <w:rFonts w:eastAsia="Calibri"/>
          <w:sz w:val="22"/>
          <w:szCs w:val="22"/>
        </w:rPr>
        <w:t>w</w:t>
      </w:r>
      <w:r w:rsidRPr="002F0BAA">
        <w:rPr>
          <w:rFonts w:eastAsia="Calibri"/>
          <w:sz w:val="22"/>
          <w:szCs w:val="22"/>
        </w:rPr>
        <w:t xml:space="preserve">ell </w:t>
      </w:r>
      <w:r w:rsidR="00EF2A79">
        <w:rPr>
          <w:rFonts w:eastAsia="Calibri"/>
          <w:sz w:val="22"/>
          <w:szCs w:val="22"/>
        </w:rPr>
        <w:t>d</w:t>
      </w:r>
      <w:r w:rsidRPr="002F0BAA">
        <w:rPr>
          <w:rFonts w:eastAsia="Calibri"/>
          <w:sz w:val="22"/>
          <w:szCs w:val="22"/>
        </w:rPr>
        <w:t>ecommissioning costs on the UKCS</w:t>
      </w:r>
      <w:r w:rsidR="00C06123">
        <w:rPr>
          <w:rFonts w:eastAsia="Calibri"/>
          <w:sz w:val="22"/>
          <w:szCs w:val="22"/>
        </w:rPr>
        <w:t>,</w:t>
      </w:r>
      <w:r w:rsidR="005A3338">
        <w:rPr>
          <w:rFonts w:eastAsia="Calibri"/>
          <w:sz w:val="22"/>
          <w:szCs w:val="22"/>
        </w:rPr>
        <w:t xml:space="preserve"> and</w:t>
      </w:r>
      <w:r w:rsidR="00E96465">
        <w:rPr>
          <w:rFonts w:eastAsia="Calibri"/>
          <w:sz w:val="22"/>
          <w:szCs w:val="22"/>
        </w:rPr>
        <w:t xml:space="preserve"> well decommissioning </w:t>
      </w:r>
      <w:r w:rsidR="00BF5175">
        <w:rPr>
          <w:rFonts w:eastAsia="Calibri"/>
          <w:sz w:val="22"/>
          <w:szCs w:val="22"/>
        </w:rPr>
        <w:t>will</w:t>
      </w:r>
      <w:r w:rsidR="00E96465">
        <w:rPr>
          <w:rFonts w:eastAsia="Calibri"/>
          <w:sz w:val="22"/>
          <w:szCs w:val="22"/>
        </w:rPr>
        <w:t xml:space="preserve"> </w:t>
      </w:r>
      <w:r w:rsidR="00FC3188">
        <w:rPr>
          <w:rFonts w:eastAsia="Calibri"/>
          <w:sz w:val="22"/>
          <w:szCs w:val="22"/>
        </w:rPr>
        <w:t xml:space="preserve">also </w:t>
      </w:r>
      <w:r w:rsidR="00E96465">
        <w:rPr>
          <w:rFonts w:eastAsia="Calibri"/>
          <w:sz w:val="22"/>
          <w:szCs w:val="22"/>
        </w:rPr>
        <w:t xml:space="preserve">have a key role to play in </w:t>
      </w:r>
      <w:r w:rsidR="00995F73">
        <w:rPr>
          <w:rFonts w:eastAsia="Calibri"/>
          <w:sz w:val="22"/>
          <w:szCs w:val="22"/>
        </w:rPr>
        <w:t>supporting the delivery of energy transition.</w:t>
      </w:r>
    </w:p>
    <w:p w14:paraId="6BC80367" w14:textId="77777777" w:rsidR="00BE53F9" w:rsidRDefault="00BE53F9" w:rsidP="00290263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57C6A444" w14:textId="7575028E" w:rsidR="007F73E8" w:rsidRPr="007F73E8" w:rsidRDefault="007F73E8" w:rsidP="00290263">
      <w:pPr>
        <w:spacing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F73E8">
        <w:rPr>
          <w:rFonts w:eastAsia="Calibri"/>
          <w:b/>
          <w:bCs/>
          <w:sz w:val="22"/>
          <w:szCs w:val="22"/>
        </w:rPr>
        <w:t>Aim</w:t>
      </w:r>
    </w:p>
    <w:p w14:paraId="25706058" w14:textId="77777777" w:rsidR="007F73E8" w:rsidRDefault="007F73E8" w:rsidP="00290263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917B45C" w14:textId="5C25C0C8" w:rsidR="00290263" w:rsidRPr="002F0BAA" w:rsidRDefault="00916111" w:rsidP="00290263">
      <w:pPr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Working with stakeholders and </w:t>
      </w:r>
      <w:r w:rsidR="00505A7A" w:rsidRPr="002F0BAA">
        <w:rPr>
          <w:rFonts w:eastAsia="Calibri"/>
          <w:sz w:val="22"/>
          <w:szCs w:val="22"/>
        </w:rPr>
        <w:t xml:space="preserve">existing </w:t>
      </w:r>
      <w:r>
        <w:rPr>
          <w:rFonts w:eastAsia="Calibri"/>
          <w:sz w:val="22"/>
          <w:szCs w:val="22"/>
        </w:rPr>
        <w:t>i</w:t>
      </w:r>
      <w:r w:rsidR="00505A7A" w:rsidRPr="002F0BAA">
        <w:rPr>
          <w:rFonts w:eastAsia="Calibri"/>
          <w:sz w:val="22"/>
          <w:szCs w:val="22"/>
        </w:rPr>
        <w:t xml:space="preserve">ndustry </w:t>
      </w:r>
      <w:r>
        <w:rPr>
          <w:rFonts w:eastAsia="Calibri"/>
          <w:sz w:val="22"/>
          <w:szCs w:val="22"/>
        </w:rPr>
        <w:t>w</w:t>
      </w:r>
      <w:r w:rsidR="00505A7A" w:rsidRPr="002F0BAA">
        <w:rPr>
          <w:rFonts w:eastAsia="Calibri"/>
          <w:sz w:val="22"/>
          <w:szCs w:val="22"/>
        </w:rPr>
        <w:t xml:space="preserve">ork </w:t>
      </w:r>
      <w:r>
        <w:rPr>
          <w:rFonts w:eastAsia="Calibri"/>
          <w:sz w:val="22"/>
          <w:szCs w:val="22"/>
        </w:rPr>
        <w:t>g</w:t>
      </w:r>
      <w:r w:rsidR="00505A7A" w:rsidRPr="002F0BAA">
        <w:rPr>
          <w:rFonts w:eastAsia="Calibri"/>
          <w:sz w:val="22"/>
          <w:szCs w:val="22"/>
        </w:rPr>
        <w:t xml:space="preserve">roups and </w:t>
      </w:r>
      <w:r>
        <w:rPr>
          <w:rFonts w:eastAsia="Calibri"/>
          <w:sz w:val="22"/>
          <w:szCs w:val="22"/>
        </w:rPr>
        <w:t>f</w:t>
      </w:r>
      <w:r w:rsidR="00505A7A" w:rsidRPr="002F0BAA">
        <w:rPr>
          <w:rFonts w:eastAsia="Calibri"/>
          <w:sz w:val="22"/>
          <w:szCs w:val="22"/>
        </w:rPr>
        <w:t>orums</w:t>
      </w:r>
      <w:r w:rsidR="0097605F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t</w:t>
      </w:r>
      <w:r w:rsidR="00290263" w:rsidRPr="002F0BAA">
        <w:rPr>
          <w:rFonts w:eastAsia="Calibri"/>
          <w:sz w:val="22"/>
          <w:szCs w:val="22"/>
        </w:rPr>
        <w:t xml:space="preserve">he </w:t>
      </w:r>
      <w:r w:rsidR="003776BA">
        <w:rPr>
          <w:rFonts w:eastAsia="Calibri"/>
          <w:sz w:val="22"/>
          <w:szCs w:val="22"/>
        </w:rPr>
        <w:t xml:space="preserve">decommissioning </w:t>
      </w:r>
      <w:r w:rsidR="00290263" w:rsidRPr="002F0BAA">
        <w:rPr>
          <w:rFonts w:eastAsia="Calibri"/>
          <w:sz w:val="22"/>
          <w:szCs w:val="22"/>
        </w:rPr>
        <w:t xml:space="preserve">group </w:t>
      </w:r>
      <w:r w:rsidR="007F73E8">
        <w:rPr>
          <w:rFonts w:eastAsia="Calibri"/>
          <w:sz w:val="22"/>
          <w:szCs w:val="22"/>
        </w:rPr>
        <w:t xml:space="preserve">will </w:t>
      </w:r>
      <w:r w:rsidR="00DF6BAD">
        <w:rPr>
          <w:rFonts w:eastAsia="Calibri"/>
          <w:sz w:val="22"/>
          <w:szCs w:val="22"/>
        </w:rPr>
        <w:t>guid</w:t>
      </w:r>
      <w:r w:rsidR="007F73E8">
        <w:rPr>
          <w:rFonts w:eastAsia="Calibri"/>
          <w:sz w:val="22"/>
          <w:szCs w:val="22"/>
        </w:rPr>
        <w:t>e</w:t>
      </w:r>
      <w:r w:rsidR="00DF6BAD">
        <w:rPr>
          <w:rFonts w:eastAsia="Calibri"/>
          <w:sz w:val="22"/>
          <w:szCs w:val="22"/>
        </w:rPr>
        <w:t xml:space="preserve"> </w:t>
      </w:r>
      <w:r w:rsidR="00234F88">
        <w:rPr>
          <w:rFonts w:eastAsia="Calibri"/>
          <w:sz w:val="22"/>
          <w:szCs w:val="22"/>
        </w:rPr>
        <w:t xml:space="preserve">the development and </w:t>
      </w:r>
      <w:r w:rsidR="00290263" w:rsidRPr="002F0BAA">
        <w:rPr>
          <w:rFonts w:eastAsia="Calibri"/>
          <w:sz w:val="22"/>
          <w:szCs w:val="22"/>
        </w:rPr>
        <w:t>deliver</w:t>
      </w:r>
      <w:r w:rsidR="00234F88">
        <w:rPr>
          <w:rFonts w:eastAsia="Calibri"/>
          <w:sz w:val="22"/>
          <w:szCs w:val="22"/>
        </w:rPr>
        <w:t>y of</w:t>
      </w:r>
      <w:r w:rsidR="00290263" w:rsidRPr="002F0BAA">
        <w:rPr>
          <w:rFonts w:eastAsia="Calibri"/>
          <w:sz w:val="22"/>
          <w:szCs w:val="22"/>
        </w:rPr>
        <w:t xml:space="preserve"> </w:t>
      </w:r>
      <w:r w:rsidR="001B08CB">
        <w:rPr>
          <w:rFonts w:eastAsia="Calibri"/>
          <w:sz w:val="22"/>
          <w:szCs w:val="22"/>
        </w:rPr>
        <w:t>improvements</w:t>
      </w:r>
      <w:r w:rsidR="003776BA">
        <w:rPr>
          <w:rFonts w:eastAsia="Calibri"/>
          <w:sz w:val="22"/>
          <w:szCs w:val="22"/>
        </w:rPr>
        <w:t xml:space="preserve"> in the wells space</w:t>
      </w:r>
      <w:r w:rsidR="001B08CB">
        <w:rPr>
          <w:rFonts w:eastAsia="Calibri"/>
          <w:sz w:val="22"/>
          <w:szCs w:val="22"/>
        </w:rPr>
        <w:t xml:space="preserve"> to </w:t>
      </w:r>
      <w:r w:rsidR="003776BA">
        <w:rPr>
          <w:rFonts w:eastAsia="Calibri"/>
          <w:sz w:val="22"/>
          <w:szCs w:val="22"/>
        </w:rPr>
        <w:t xml:space="preserve">support the </w:t>
      </w:r>
      <w:r w:rsidR="001B08CB">
        <w:rPr>
          <w:rFonts w:eastAsia="Calibri"/>
          <w:sz w:val="22"/>
          <w:szCs w:val="22"/>
        </w:rPr>
        <w:t>achieve</w:t>
      </w:r>
      <w:r w:rsidR="00FF52DC">
        <w:rPr>
          <w:rFonts w:eastAsia="Calibri"/>
          <w:sz w:val="22"/>
          <w:szCs w:val="22"/>
        </w:rPr>
        <w:t>ment o</w:t>
      </w:r>
      <w:r w:rsidR="00FF52DC" w:rsidRPr="0002169E">
        <w:rPr>
          <w:rFonts w:eastAsia="Calibri"/>
          <w:sz w:val="22"/>
          <w:szCs w:val="22"/>
        </w:rPr>
        <w:t>f</w:t>
      </w:r>
      <w:r w:rsidR="001B08CB" w:rsidRPr="0002169E">
        <w:rPr>
          <w:rFonts w:eastAsia="Calibri"/>
          <w:sz w:val="22"/>
          <w:szCs w:val="22"/>
        </w:rPr>
        <w:t xml:space="preserve"> </w:t>
      </w:r>
      <w:r w:rsidR="00A516ED" w:rsidRPr="0002169E">
        <w:rPr>
          <w:rFonts w:eastAsia="Calibri"/>
          <w:sz w:val="22"/>
          <w:szCs w:val="22"/>
        </w:rPr>
        <w:t xml:space="preserve">at least a </w:t>
      </w:r>
      <w:r w:rsidR="0072255F" w:rsidRPr="00FE50FB">
        <w:rPr>
          <w:rFonts w:eastAsia="Calibri"/>
          <w:sz w:val="22"/>
          <w:szCs w:val="22"/>
        </w:rPr>
        <w:t>10</w:t>
      </w:r>
      <w:r w:rsidR="00A516ED" w:rsidRPr="0002169E">
        <w:rPr>
          <w:rFonts w:eastAsia="Calibri"/>
          <w:sz w:val="22"/>
          <w:szCs w:val="22"/>
        </w:rPr>
        <w:t>% reduction</w:t>
      </w:r>
      <w:r w:rsidR="00477FCF" w:rsidRPr="0002169E">
        <w:rPr>
          <w:rFonts w:eastAsia="Calibri"/>
          <w:sz w:val="22"/>
          <w:szCs w:val="22"/>
        </w:rPr>
        <w:t xml:space="preserve"> in </w:t>
      </w:r>
      <w:r w:rsidR="00950873" w:rsidRPr="00FE50FB">
        <w:rPr>
          <w:rFonts w:eastAsia="Calibri"/>
          <w:sz w:val="22"/>
          <w:szCs w:val="22"/>
        </w:rPr>
        <w:t xml:space="preserve">the </w:t>
      </w:r>
      <w:r w:rsidR="00B36C87">
        <w:rPr>
          <w:rFonts w:eastAsia="Calibri"/>
          <w:sz w:val="22"/>
          <w:szCs w:val="22"/>
        </w:rPr>
        <w:t xml:space="preserve">total </w:t>
      </w:r>
      <w:r w:rsidR="00950873" w:rsidRPr="00FE50FB">
        <w:rPr>
          <w:rFonts w:eastAsia="Calibri"/>
          <w:sz w:val="22"/>
          <w:szCs w:val="22"/>
        </w:rPr>
        <w:t>cost of decommissioning</w:t>
      </w:r>
      <w:r w:rsidR="0072255F" w:rsidRPr="00FE50FB">
        <w:rPr>
          <w:rFonts w:eastAsia="Calibri"/>
          <w:sz w:val="22"/>
          <w:szCs w:val="22"/>
        </w:rPr>
        <w:t xml:space="preserve"> between 2023 and 2028</w:t>
      </w:r>
      <w:r w:rsidR="00B41ABB" w:rsidRPr="0002169E">
        <w:rPr>
          <w:rStyle w:val="FootnoteReference"/>
          <w:rFonts w:eastAsia="Calibri"/>
          <w:sz w:val="22"/>
          <w:szCs w:val="22"/>
        </w:rPr>
        <w:footnoteReference w:id="2"/>
      </w:r>
      <w:r w:rsidR="00FF52DC" w:rsidRPr="00FE50FB">
        <w:rPr>
          <w:rFonts w:eastAsia="Calibri"/>
          <w:sz w:val="22"/>
          <w:szCs w:val="22"/>
        </w:rPr>
        <w:t>.</w:t>
      </w:r>
      <w:r w:rsidR="00B166F3" w:rsidRPr="0002169E">
        <w:rPr>
          <w:rFonts w:eastAsia="Calibri"/>
          <w:sz w:val="22"/>
          <w:szCs w:val="22"/>
        </w:rPr>
        <w:t xml:space="preserve"> </w:t>
      </w:r>
      <w:r w:rsidR="0097605F">
        <w:rPr>
          <w:rFonts w:eastAsia="Calibri"/>
          <w:sz w:val="22"/>
          <w:szCs w:val="22"/>
        </w:rPr>
        <w:t xml:space="preserve">The group will aim </w:t>
      </w:r>
      <w:r w:rsidR="00B166F3">
        <w:rPr>
          <w:rFonts w:eastAsia="Calibri"/>
          <w:sz w:val="22"/>
          <w:szCs w:val="22"/>
        </w:rPr>
        <w:t xml:space="preserve">to ensure that wells are decommissioned </w:t>
      </w:r>
      <w:r w:rsidR="001D2275">
        <w:rPr>
          <w:rFonts w:eastAsia="Calibri"/>
          <w:sz w:val="22"/>
          <w:szCs w:val="22"/>
        </w:rPr>
        <w:t>appropriately, including considerations</w:t>
      </w:r>
      <w:r w:rsidR="00F16E29">
        <w:rPr>
          <w:rFonts w:eastAsia="Calibri"/>
          <w:sz w:val="22"/>
          <w:szCs w:val="22"/>
        </w:rPr>
        <w:t xml:space="preserve"> for reservoir reuse</w:t>
      </w:r>
      <w:r w:rsidR="0007414B">
        <w:rPr>
          <w:rFonts w:eastAsia="Calibri"/>
          <w:sz w:val="22"/>
          <w:szCs w:val="22"/>
        </w:rPr>
        <w:t xml:space="preserve"> or repurposing for carbon storage </w:t>
      </w:r>
      <w:r w:rsidR="00B31B21">
        <w:rPr>
          <w:rFonts w:eastAsia="Calibri"/>
          <w:sz w:val="22"/>
          <w:szCs w:val="22"/>
        </w:rPr>
        <w:t>(CCS) application</w:t>
      </w:r>
      <w:r w:rsidR="00F16E29">
        <w:rPr>
          <w:rFonts w:eastAsia="Calibri"/>
          <w:sz w:val="22"/>
          <w:szCs w:val="22"/>
        </w:rPr>
        <w:t>.</w:t>
      </w:r>
      <w:r w:rsidR="004F29A7">
        <w:rPr>
          <w:rFonts w:eastAsia="Calibri"/>
          <w:sz w:val="22"/>
          <w:szCs w:val="22"/>
        </w:rPr>
        <w:t xml:space="preserve"> </w:t>
      </w:r>
      <w:r w:rsidR="00A516ED">
        <w:rPr>
          <w:rFonts w:eastAsia="Calibri"/>
          <w:sz w:val="22"/>
          <w:szCs w:val="22"/>
        </w:rPr>
        <w:t xml:space="preserve"> </w:t>
      </w:r>
    </w:p>
    <w:p w14:paraId="37D4716F" w14:textId="77777777" w:rsidR="005E0623" w:rsidRPr="003B5DB8" w:rsidRDefault="005E0623" w:rsidP="005E0623">
      <w:pPr>
        <w:spacing w:before="240" w:after="240" w:line="240" w:lineRule="auto"/>
        <w:ind w:left="426" w:hanging="426"/>
        <w:outlineLvl w:val="2"/>
        <w:rPr>
          <w:rFonts w:eastAsia="Times New Roman"/>
          <w:b/>
          <w:bCs/>
          <w:sz w:val="22"/>
          <w:szCs w:val="22"/>
          <w:lang w:eastAsia="en-GB"/>
        </w:rPr>
      </w:pPr>
      <w:bookmarkStart w:id="0" w:name="_Hlk508028677"/>
      <w:r w:rsidRPr="003B5DB8">
        <w:rPr>
          <w:rFonts w:eastAsia="Times New Roman"/>
          <w:b/>
          <w:bCs/>
          <w:sz w:val="22"/>
          <w:szCs w:val="22"/>
          <w:lang w:eastAsia="en-GB"/>
        </w:rPr>
        <w:t>Scope</w:t>
      </w:r>
    </w:p>
    <w:p w14:paraId="51BD298C" w14:textId="172A8E16" w:rsidR="00ED26CA" w:rsidRPr="003B5DB8" w:rsidRDefault="005E0623" w:rsidP="00F52A43">
      <w:pPr>
        <w:pStyle w:val="ListParagraph"/>
        <w:numPr>
          <w:ilvl w:val="0"/>
          <w:numId w:val="1"/>
        </w:numPr>
        <w:rPr>
          <w:sz w:val="22"/>
          <w:szCs w:val="22"/>
          <w:u w:val="single"/>
          <w:lang w:eastAsia="en-GB"/>
        </w:rPr>
      </w:pPr>
      <w:r w:rsidRPr="003B5DB8">
        <w:rPr>
          <w:sz w:val="22"/>
          <w:szCs w:val="22"/>
          <w:u w:val="single"/>
          <w:lang w:eastAsia="en-GB"/>
        </w:rPr>
        <w:t xml:space="preserve">In </w:t>
      </w:r>
      <w:r w:rsidR="00ED26CA" w:rsidRPr="003B5DB8">
        <w:rPr>
          <w:sz w:val="22"/>
          <w:szCs w:val="22"/>
          <w:u w:val="single"/>
          <w:lang w:eastAsia="en-GB"/>
        </w:rPr>
        <w:t>s</w:t>
      </w:r>
      <w:r w:rsidRPr="003B5DB8">
        <w:rPr>
          <w:sz w:val="22"/>
          <w:szCs w:val="22"/>
          <w:u w:val="single"/>
          <w:lang w:eastAsia="en-GB"/>
        </w:rPr>
        <w:t>cope</w:t>
      </w:r>
    </w:p>
    <w:p w14:paraId="296418D8" w14:textId="727E45F3" w:rsidR="004E689C" w:rsidRPr="003B5DB8" w:rsidRDefault="00ED26CA" w:rsidP="00ED26CA">
      <w:pPr>
        <w:pStyle w:val="ListParagraph"/>
        <w:rPr>
          <w:sz w:val="22"/>
          <w:szCs w:val="22"/>
          <w:lang w:eastAsia="en-GB"/>
        </w:rPr>
      </w:pPr>
      <w:r w:rsidRPr="003B5DB8">
        <w:rPr>
          <w:sz w:val="22"/>
          <w:szCs w:val="22"/>
          <w:lang w:eastAsia="en-GB"/>
        </w:rPr>
        <w:t xml:space="preserve">All existing and future platform and subsea wellbores currently registered on the </w:t>
      </w:r>
      <w:r w:rsidR="00700FB4">
        <w:rPr>
          <w:sz w:val="22"/>
          <w:szCs w:val="22"/>
          <w:lang w:eastAsia="en-GB"/>
        </w:rPr>
        <w:t>NSTA</w:t>
      </w:r>
      <w:r w:rsidR="00700FB4" w:rsidRPr="003B5DB8">
        <w:rPr>
          <w:sz w:val="22"/>
          <w:szCs w:val="22"/>
          <w:lang w:eastAsia="en-GB"/>
        </w:rPr>
        <w:t xml:space="preserve"> </w:t>
      </w:r>
      <w:r w:rsidRPr="003B5DB8">
        <w:rPr>
          <w:sz w:val="22"/>
          <w:szCs w:val="22"/>
          <w:lang w:eastAsia="en-GB"/>
        </w:rPr>
        <w:t xml:space="preserve">Wells Operations Notification System (WONS) database.  This includes </w:t>
      </w:r>
      <w:r w:rsidR="005B09F6" w:rsidRPr="003B5DB8">
        <w:rPr>
          <w:sz w:val="22"/>
          <w:szCs w:val="22"/>
          <w:lang w:eastAsia="en-GB"/>
        </w:rPr>
        <w:t xml:space="preserve">existing </w:t>
      </w:r>
      <w:r w:rsidRPr="003B5DB8">
        <w:rPr>
          <w:sz w:val="22"/>
          <w:szCs w:val="22"/>
          <w:lang w:eastAsia="en-GB"/>
        </w:rPr>
        <w:t xml:space="preserve">E&amp;A and Open Water Suspended wellbores.    </w:t>
      </w:r>
    </w:p>
    <w:p w14:paraId="5C3EB751" w14:textId="77838FD1" w:rsidR="00ED26CA" w:rsidRPr="003B5DB8" w:rsidRDefault="00ED26CA" w:rsidP="00ED26CA">
      <w:pPr>
        <w:pStyle w:val="ListParagraph"/>
        <w:numPr>
          <w:ilvl w:val="0"/>
          <w:numId w:val="1"/>
        </w:numPr>
        <w:rPr>
          <w:sz w:val="22"/>
          <w:szCs w:val="22"/>
          <w:u w:val="single"/>
          <w:lang w:eastAsia="en-GB"/>
        </w:rPr>
      </w:pPr>
      <w:r w:rsidRPr="003B5DB8">
        <w:rPr>
          <w:sz w:val="22"/>
          <w:szCs w:val="22"/>
          <w:u w:val="single"/>
          <w:lang w:eastAsia="en-GB"/>
        </w:rPr>
        <w:t>Out of scope</w:t>
      </w:r>
    </w:p>
    <w:p w14:paraId="0D312B0E" w14:textId="63B949B3" w:rsidR="00ED26CA" w:rsidRPr="003B5DB8" w:rsidRDefault="00ED26CA" w:rsidP="00ED26CA">
      <w:pPr>
        <w:pStyle w:val="ListParagraph"/>
        <w:rPr>
          <w:sz w:val="22"/>
          <w:szCs w:val="22"/>
          <w:lang w:eastAsia="en-GB"/>
        </w:rPr>
      </w:pPr>
      <w:r w:rsidRPr="2DF4F0BD">
        <w:rPr>
          <w:sz w:val="22"/>
          <w:szCs w:val="22"/>
          <w:lang w:eastAsia="en-GB"/>
        </w:rPr>
        <w:t>Wellbores</w:t>
      </w:r>
      <w:r w:rsidR="00EA7F08" w:rsidRPr="2DF4F0BD">
        <w:rPr>
          <w:sz w:val="22"/>
          <w:szCs w:val="22"/>
          <w:lang w:eastAsia="en-GB"/>
        </w:rPr>
        <w:t xml:space="preserve"> registered</w:t>
      </w:r>
      <w:r w:rsidRPr="2DF4F0BD">
        <w:rPr>
          <w:sz w:val="22"/>
          <w:szCs w:val="22"/>
          <w:lang w:eastAsia="en-GB"/>
        </w:rPr>
        <w:t xml:space="preserve"> ‘permanently abandoned’ (</w:t>
      </w:r>
      <w:r w:rsidR="005B09F6" w:rsidRPr="2DF4F0BD">
        <w:rPr>
          <w:sz w:val="22"/>
          <w:szCs w:val="22"/>
          <w:lang w:eastAsia="en-GB"/>
        </w:rPr>
        <w:t>d</w:t>
      </w:r>
      <w:r w:rsidRPr="2DF4F0BD">
        <w:rPr>
          <w:sz w:val="22"/>
          <w:szCs w:val="22"/>
          <w:lang w:eastAsia="en-GB"/>
        </w:rPr>
        <w:t>ecommissioned) as of 1</w:t>
      </w:r>
      <w:r w:rsidRPr="2DF4F0BD">
        <w:rPr>
          <w:sz w:val="22"/>
          <w:szCs w:val="22"/>
          <w:vertAlign w:val="superscript"/>
          <w:lang w:eastAsia="en-GB"/>
        </w:rPr>
        <w:t>st</w:t>
      </w:r>
      <w:r w:rsidRPr="2DF4F0BD">
        <w:rPr>
          <w:sz w:val="22"/>
          <w:szCs w:val="22"/>
          <w:lang w:eastAsia="en-GB"/>
        </w:rPr>
        <w:t xml:space="preserve"> January 202</w:t>
      </w:r>
      <w:r w:rsidR="00BE3A4E" w:rsidRPr="2DF4F0BD">
        <w:rPr>
          <w:sz w:val="22"/>
          <w:szCs w:val="22"/>
          <w:lang w:eastAsia="en-GB"/>
        </w:rPr>
        <w:t>3</w:t>
      </w:r>
      <w:r w:rsidRPr="2DF4F0BD">
        <w:rPr>
          <w:sz w:val="22"/>
          <w:szCs w:val="22"/>
          <w:lang w:eastAsia="en-GB"/>
        </w:rPr>
        <w:t>.</w:t>
      </w:r>
      <w:r w:rsidR="005B09F6" w:rsidRPr="2DF4F0BD">
        <w:rPr>
          <w:sz w:val="22"/>
          <w:szCs w:val="22"/>
          <w:lang w:eastAsia="en-GB"/>
        </w:rPr>
        <w:t xml:space="preserve">  </w:t>
      </w:r>
      <w:r w:rsidRPr="2DF4F0BD">
        <w:rPr>
          <w:sz w:val="22"/>
          <w:szCs w:val="22"/>
          <w:lang w:eastAsia="en-GB"/>
        </w:rPr>
        <w:t xml:space="preserve">   </w:t>
      </w:r>
    </w:p>
    <w:p w14:paraId="5D4FC20C" w14:textId="04D1C2D5" w:rsidR="00EA7F08" w:rsidRPr="003B5DB8" w:rsidRDefault="00A13A8F" w:rsidP="00EA7F08">
      <w:pPr>
        <w:spacing w:before="240" w:after="240" w:line="240" w:lineRule="auto"/>
        <w:ind w:left="426" w:hanging="426"/>
        <w:outlineLvl w:val="2"/>
        <w:rPr>
          <w:rFonts w:eastAsia="Times New Roman"/>
          <w:b/>
          <w:bCs/>
          <w:sz w:val="22"/>
          <w:szCs w:val="22"/>
          <w:lang w:eastAsia="en-GB"/>
        </w:rPr>
      </w:pPr>
      <w:r>
        <w:rPr>
          <w:rFonts w:eastAsia="Times New Roman"/>
          <w:b/>
          <w:bCs/>
          <w:sz w:val="22"/>
          <w:szCs w:val="22"/>
          <w:lang w:eastAsia="en-GB"/>
        </w:rPr>
        <w:t xml:space="preserve">Primary </w:t>
      </w:r>
      <w:r w:rsidR="00CD70B2" w:rsidRPr="003B5DB8">
        <w:rPr>
          <w:rFonts w:eastAsia="Times New Roman"/>
          <w:b/>
          <w:bCs/>
          <w:sz w:val="22"/>
          <w:szCs w:val="22"/>
          <w:lang w:eastAsia="en-GB"/>
        </w:rPr>
        <w:t>Objectives</w:t>
      </w:r>
    </w:p>
    <w:p w14:paraId="37F0ED77" w14:textId="7F019424" w:rsidR="00D7649A" w:rsidRPr="000338D1" w:rsidRDefault="00D7649A" w:rsidP="00D7649A">
      <w:pPr>
        <w:pStyle w:val="ListParagraph"/>
        <w:numPr>
          <w:ilvl w:val="0"/>
          <w:numId w:val="17"/>
        </w:numPr>
        <w:spacing w:before="240" w:beforeAutospacing="1" w:after="240" w:afterAutospacing="1" w:line="240" w:lineRule="auto"/>
        <w:outlineLvl w:val="2"/>
        <w:rPr>
          <w:rFonts w:eastAsia="Times New Roman"/>
          <w:b/>
          <w:bCs/>
          <w:sz w:val="22"/>
          <w:szCs w:val="22"/>
          <w:lang w:eastAsia="en-GB"/>
        </w:rPr>
      </w:pPr>
      <w:r w:rsidRPr="000338D1">
        <w:rPr>
          <w:rFonts w:eastAsia="Times New Roman"/>
          <w:sz w:val="22"/>
          <w:szCs w:val="22"/>
          <w:lang w:eastAsia="en-GB"/>
        </w:rPr>
        <w:t xml:space="preserve">Work with stakeholders to </w:t>
      </w:r>
      <w:r w:rsidRPr="000338D1">
        <w:rPr>
          <w:rFonts w:eastAsia="Times New Roman"/>
          <w:b/>
          <w:bCs/>
          <w:sz w:val="22"/>
          <w:szCs w:val="22"/>
          <w:lang w:eastAsia="en-GB"/>
        </w:rPr>
        <w:t>identify barriers and support development of solutions</w:t>
      </w:r>
      <w:r>
        <w:rPr>
          <w:rFonts w:eastAsia="Times New Roman"/>
          <w:b/>
          <w:bCs/>
          <w:sz w:val="22"/>
          <w:szCs w:val="22"/>
          <w:lang w:eastAsia="en-GB"/>
        </w:rPr>
        <w:t xml:space="preserve"> </w:t>
      </w:r>
      <w:r>
        <w:rPr>
          <w:rFonts w:eastAsia="Times New Roman"/>
          <w:sz w:val="22"/>
          <w:szCs w:val="22"/>
          <w:lang w:eastAsia="en-GB"/>
        </w:rPr>
        <w:t>to del</w:t>
      </w:r>
      <w:r w:rsidR="00CF2FF6">
        <w:rPr>
          <w:rFonts w:eastAsia="Times New Roman"/>
          <w:sz w:val="22"/>
          <w:szCs w:val="22"/>
          <w:lang w:eastAsia="en-GB"/>
        </w:rPr>
        <w:t xml:space="preserve">iver the </w:t>
      </w:r>
      <w:r w:rsidR="00FC2E8C">
        <w:rPr>
          <w:rFonts w:eastAsia="Times New Roman"/>
          <w:sz w:val="22"/>
          <w:szCs w:val="22"/>
          <w:lang w:eastAsia="en-GB"/>
        </w:rPr>
        <w:t xml:space="preserve">overall aim </w:t>
      </w:r>
      <w:r w:rsidR="0063049F">
        <w:rPr>
          <w:rFonts w:eastAsia="Times New Roman"/>
          <w:sz w:val="22"/>
          <w:szCs w:val="22"/>
          <w:lang w:eastAsia="en-GB"/>
        </w:rPr>
        <w:t>of the steering group</w:t>
      </w:r>
      <w:r w:rsidR="002812B9">
        <w:rPr>
          <w:rFonts w:eastAsia="Times New Roman"/>
          <w:sz w:val="22"/>
          <w:szCs w:val="22"/>
          <w:lang w:eastAsia="en-GB"/>
        </w:rPr>
        <w:t>.</w:t>
      </w:r>
    </w:p>
    <w:p w14:paraId="0664EA55" w14:textId="2E020A76" w:rsidR="004C1D2B" w:rsidRPr="003B5DB8" w:rsidRDefault="006052A4" w:rsidP="24939015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24939015">
        <w:rPr>
          <w:rFonts w:eastAsia="Times New Roman"/>
          <w:sz w:val="22"/>
          <w:szCs w:val="22"/>
          <w:lang w:eastAsia="en-GB"/>
        </w:rPr>
        <w:t xml:space="preserve">Support the </w:t>
      </w:r>
      <w:r w:rsidR="3C333B26" w:rsidRPr="24939015">
        <w:rPr>
          <w:rFonts w:eastAsia="Times New Roman"/>
          <w:sz w:val="22"/>
          <w:szCs w:val="22"/>
          <w:lang w:eastAsia="en-GB"/>
        </w:rPr>
        <w:t>practical application</w:t>
      </w:r>
      <w:r w:rsidRPr="24939015">
        <w:rPr>
          <w:rFonts w:eastAsia="Times New Roman"/>
          <w:sz w:val="22"/>
          <w:szCs w:val="22"/>
          <w:lang w:eastAsia="en-GB"/>
        </w:rPr>
        <w:t xml:space="preserve"> of </w:t>
      </w:r>
      <w:r w:rsidR="00167A03" w:rsidRPr="24939015">
        <w:rPr>
          <w:rFonts w:eastAsia="Times New Roman"/>
          <w:b/>
          <w:bCs/>
          <w:sz w:val="22"/>
          <w:szCs w:val="22"/>
          <w:lang w:eastAsia="en-GB"/>
        </w:rPr>
        <w:t>technology</w:t>
      </w:r>
      <w:r w:rsidR="00167A03" w:rsidRPr="24939015">
        <w:rPr>
          <w:rFonts w:eastAsia="Times New Roman"/>
          <w:sz w:val="22"/>
          <w:szCs w:val="22"/>
          <w:lang w:eastAsia="en-GB"/>
        </w:rPr>
        <w:t xml:space="preserve"> to deliver</w:t>
      </w:r>
      <w:r w:rsidR="000F6331" w:rsidRPr="24939015">
        <w:rPr>
          <w:rFonts w:eastAsia="Times New Roman"/>
          <w:sz w:val="22"/>
          <w:szCs w:val="22"/>
          <w:lang w:eastAsia="en-GB"/>
        </w:rPr>
        <w:t xml:space="preserve"> cost efficient decommissioning, working with th</w:t>
      </w:r>
      <w:r w:rsidRPr="24939015">
        <w:rPr>
          <w:rFonts w:eastAsia="Times New Roman"/>
          <w:sz w:val="22"/>
          <w:szCs w:val="22"/>
          <w:lang w:eastAsia="en-GB"/>
        </w:rPr>
        <w:t xml:space="preserve">e </w:t>
      </w:r>
      <w:r w:rsidR="003B68B8" w:rsidRPr="24939015">
        <w:rPr>
          <w:rFonts w:eastAsia="Times New Roman"/>
          <w:sz w:val="22"/>
          <w:szCs w:val="22"/>
          <w:lang w:eastAsia="en-GB"/>
        </w:rPr>
        <w:t xml:space="preserve">Technology Leadership Board </w:t>
      </w:r>
      <w:r w:rsidR="00006F52" w:rsidRPr="24939015">
        <w:rPr>
          <w:rFonts w:eastAsia="Times New Roman"/>
          <w:sz w:val="22"/>
          <w:szCs w:val="22"/>
          <w:lang w:eastAsia="en-GB"/>
        </w:rPr>
        <w:t>(TLB)</w:t>
      </w:r>
      <w:r w:rsidR="002226E7" w:rsidRPr="24939015">
        <w:rPr>
          <w:rFonts w:eastAsia="Times New Roman"/>
          <w:sz w:val="22"/>
          <w:szCs w:val="22"/>
          <w:lang w:eastAsia="en-GB"/>
        </w:rPr>
        <w:t>,</w:t>
      </w:r>
      <w:r w:rsidR="003B68B8" w:rsidRPr="24939015">
        <w:rPr>
          <w:rFonts w:eastAsia="Times New Roman"/>
          <w:sz w:val="22"/>
          <w:szCs w:val="22"/>
          <w:lang w:eastAsia="en-GB"/>
        </w:rPr>
        <w:t xml:space="preserve"> </w:t>
      </w:r>
      <w:r w:rsidRPr="24939015">
        <w:rPr>
          <w:rFonts w:eastAsia="Times New Roman"/>
          <w:sz w:val="22"/>
          <w:szCs w:val="22"/>
          <w:lang w:eastAsia="en-GB"/>
        </w:rPr>
        <w:t xml:space="preserve">Net Zero </w:t>
      </w:r>
      <w:r w:rsidR="00006F52" w:rsidRPr="24939015">
        <w:rPr>
          <w:rFonts w:eastAsia="Times New Roman"/>
          <w:sz w:val="22"/>
          <w:szCs w:val="22"/>
          <w:lang w:eastAsia="en-GB"/>
        </w:rPr>
        <w:t>Technology</w:t>
      </w:r>
      <w:r w:rsidRPr="24939015">
        <w:rPr>
          <w:rFonts w:eastAsia="Times New Roman"/>
          <w:sz w:val="22"/>
          <w:szCs w:val="22"/>
          <w:lang w:eastAsia="en-GB"/>
        </w:rPr>
        <w:t xml:space="preserve"> Centre</w:t>
      </w:r>
      <w:r w:rsidR="00006F52" w:rsidRPr="24939015">
        <w:rPr>
          <w:rFonts w:eastAsia="Times New Roman"/>
          <w:sz w:val="22"/>
          <w:szCs w:val="22"/>
          <w:lang w:eastAsia="en-GB"/>
        </w:rPr>
        <w:t xml:space="preserve"> (NZTC) and </w:t>
      </w:r>
      <w:r w:rsidR="00CB5540" w:rsidRPr="24939015">
        <w:rPr>
          <w:rFonts w:eastAsia="Times New Roman"/>
          <w:sz w:val="22"/>
          <w:szCs w:val="22"/>
          <w:lang w:eastAsia="en-GB"/>
        </w:rPr>
        <w:t>Offshore Energies UK (</w:t>
      </w:r>
      <w:r w:rsidR="00006F52" w:rsidRPr="24939015">
        <w:rPr>
          <w:rFonts w:eastAsia="Times New Roman"/>
          <w:sz w:val="22"/>
          <w:szCs w:val="22"/>
          <w:lang w:eastAsia="en-GB"/>
        </w:rPr>
        <w:t>O</w:t>
      </w:r>
      <w:r w:rsidR="00470A61" w:rsidRPr="24939015">
        <w:rPr>
          <w:rFonts w:eastAsia="Times New Roman"/>
          <w:sz w:val="22"/>
          <w:szCs w:val="22"/>
          <w:lang w:eastAsia="en-GB"/>
        </w:rPr>
        <w:t>E</w:t>
      </w:r>
      <w:r w:rsidR="00006F52" w:rsidRPr="24939015">
        <w:rPr>
          <w:rFonts w:eastAsia="Times New Roman"/>
          <w:sz w:val="22"/>
          <w:szCs w:val="22"/>
          <w:lang w:eastAsia="en-GB"/>
        </w:rPr>
        <w:t>UK</w:t>
      </w:r>
      <w:r w:rsidR="00CB5540" w:rsidRPr="24939015">
        <w:rPr>
          <w:rFonts w:eastAsia="Times New Roman"/>
          <w:sz w:val="22"/>
          <w:szCs w:val="22"/>
          <w:lang w:eastAsia="en-GB"/>
        </w:rPr>
        <w:t>).</w:t>
      </w:r>
    </w:p>
    <w:p w14:paraId="7F545CA9" w14:textId="7CCA2121" w:rsidR="00EA7F08" w:rsidRDefault="00706035" w:rsidP="00EA7F0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Work closely with OEUK and other Well</w:t>
      </w:r>
      <w:r w:rsidR="00773DFE">
        <w:rPr>
          <w:rFonts w:eastAsia="Times New Roman"/>
          <w:sz w:val="22"/>
          <w:szCs w:val="22"/>
          <w:lang w:eastAsia="en-GB"/>
        </w:rPr>
        <w:t xml:space="preserve">s workgroups or forums </w:t>
      </w:r>
      <w:r w:rsidR="00D93D6C">
        <w:rPr>
          <w:rFonts w:eastAsia="Times New Roman"/>
          <w:sz w:val="22"/>
          <w:szCs w:val="22"/>
          <w:lang w:eastAsia="en-GB"/>
        </w:rPr>
        <w:t>to s</w:t>
      </w:r>
      <w:r w:rsidR="00006F52">
        <w:rPr>
          <w:rFonts w:eastAsia="Times New Roman"/>
          <w:sz w:val="22"/>
          <w:szCs w:val="22"/>
          <w:lang w:eastAsia="en-GB"/>
        </w:rPr>
        <w:t xml:space="preserve">upport industry </w:t>
      </w:r>
      <w:r w:rsidR="00391B51">
        <w:rPr>
          <w:rFonts w:eastAsia="Times New Roman"/>
          <w:sz w:val="22"/>
          <w:szCs w:val="22"/>
          <w:lang w:eastAsia="en-GB"/>
        </w:rPr>
        <w:t xml:space="preserve">by </w:t>
      </w:r>
      <w:r w:rsidR="00006F52">
        <w:rPr>
          <w:rFonts w:eastAsia="Times New Roman"/>
          <w:sz w:val="22"/>
          <w:szCs w:val="22"/>
          <w:lang w:eastAsia="en-GB"/>
        </w:rPr>
        <w:t>ensur</w:t>
      </w:r>
      <w:r w:rsidR="00391B51">
        <w:rPr>
          <w:rFonts w:eastAsia="Times New Roman"/>
          <w:sz w:val="22"/>
          <w:szCs w:val="22"/>
          <w:lang w:eastAsia="en-GB"/>
        </w:rPr>
        <w:t>ing</w:t>
      </w:r>
      <w:r w:rsidR="00006F52">
        <w:rPr>
          <w:rFonts w:eastAsia="Times New Roman"/>
          <w:sz w:val="22"/>
          <w:szCs w:val="22"/>
          <w:lang w:eastAsia="en-GB"/>
        </w:rPr>
        <w:t xml:space="preserve"> </w:t>
      </w:r>
      <w:r w:rsidR="00F662D1">
        <w:rPr>
          <w:rFonts w:eastAsia="Times New Roman"/>
          <w:sz w:val="22"/>
          <w:szCs w:val="22"/>
          <w:lang w:eastAsia="en-GB"/>
        </w:rPr>
        <w:t xml:space="preserve">appropriate </w:t>
      </w:r>
      <w:r w:rsidR="00EA7F08" w:rsidRPr="003B5DB8">
        <w:rPr>
          <w:rFonts w:eastAsia="Times New Roman"/>
          <w:b/>
          <w:sz w:val="22"/>
          <w:szCs w:val="22"/>
          <w:lang w:eastAsia="en-GB"/>
        </w:rPr>
        <w:t>guidance</w:t>
      </w:r>
      <w:r w:rsidR="00EA7F08" w:rsidRPr="003B5DB8">
        <w:rPr>
          <w:rFonts w:eastAsia="Times New Roman"/>
          <w:sz w:val="22"/>
          <w:szCs w:val="22"/>
          <w:lang w:eastAsia="en-GB"/>
        </w:rPr>
        <w:t xml:space="preserve"> </w:t>
      </w:r>
      <w:r w:rsidR="006F5A61" w:rsidRPr="003B5DB8">
        <w:rPr>
          <w:rFonts w:eastAsia="Times New Roman"/>
          <w:sz w:val="22"/>
          <w:szCs w:val="22"/>
          <w:lang w:eastAsia="en-GB"/>
        </w:rPr>
        <w:t xml:space="preserve">is </w:t>
      </w:r>
      <w:r w:rsidR="00F662D1">
        <w:rPr>
          <w:rFonts w:eastAsia="Times New Roman"/>
          <w:sz w:val="22"/>
          <w:szCs w:val="22"/>
          <w:lang w:eastAsia="en-GB"/>
        </w:rPr>
        <w:t>available</w:t>
      </w:r>
      <w:r w:rsidR="00C816CA">
        <w:rPr>
          <w:rFonts w:eastAsia="Times New Roman"/>
          <w:sz w:val="22"/>
          <w:szCs w:val="22"/>
          <w:lang w:eastAsia="en-GB"/>
        </w:rPr>
        <w:t xml:space="preserve"> to support well decommissioning</w:t>
      </w:r>
      <w:r w:rsidR="00E249A4">
        <w:rPr>
          <w:rFonts w:eastAsia="Times New Roman"/>
          <w:sz w:val="22"/>
          <w:szCs w:val="22"/>
          <w:lang w:eastAsia="en-GB"/>
        </w:rPr>
        <w:t>.</w:t>
      </w:r>
    </w:p>
    <w:p w14:paraId="5BBE2F3E" w14:textId="08D92EFF" w:rsidR="00A13A8F" w:rsidRDefault="00A13A8F" w:rsidP="00A13A8F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Guide, promote and s</w:t>
      </w:r>
      <w:r w:rsidRPr="003B5DB8">
        <w:rPr>
          <w:rFonts w:eastAsia="Times New Roman"/>
          <w:sz w:val="22"/>
          <w:szCs w:val="22"/>
          <w:lang w:eastAsia="en-GB"/>
        </w:rPr>
        <w:t xml:space="preserve">upport </w:t>
      </w:r>
      <w:r w:rsidRPr="006908EB">
        <w:rPr>
          <w:rFonts w:eastAsia="Times New Roman"/>
          <w:b/>
          <w:bCs/>
          <w:sz w:val="22"/>
          <w:szCs w:val="22"/>
          <w:lang w:eastAsia="en-GB"/>
        </w:rPr>
        <w:t>collaboration and campaigning</w:t>
      </w:r>
      <w:r>
        <w:rPr>
          <w:rFonts w:eastAsia="Times New Roman"/>
          <w:sz w:val="22"/>
          <w:szCs w:val="22"/>
          <w:lang w:eastAsia="en-GB"/>
        </w:rPr>
        <w:t xml:space="preserve"> </w:t>
      </w:r>
      <w:r w:rsidRPr="006908EB">
        <w:rPr>
          <w:rFonts w:eastAsia="Times New Roman"/>
          <w:sz w:val="22"/>
          <w:szCs w:val="22"/>
          <w:lang w:eastAsia="en-GB"/>
        </w:rPr>
        <w:t>to optimise well decommissioning activity</w:t>
      </w:r>
      <w:r w:rsidRPr="003B5DB8">
        <w:rPr>
          <w:rFonts w:eastAsia="Times New Roman"/>
          <w:sz w:val="22"/>
          <w:szCs w:val="22"/>
          <w:lang w:eastAsia="en-GB"/>
        </w:rPr>
        <w:t xml:space="preserve"> on the UKCS. </w:t>
      </w:r>
    </w:p>
    <w:p w14:paraId="6E40B805" w14:textId="77777777" w:rsidR="00E249A4" w:rsidRDefault="00E249A4" w:rsidP="00A13A8F">
      <w:pPr>
        <w:spacing w:before="100" w:beforeAutospacing="1" w:after="100" w:afterAutospacing="1" w:line="240" w:lineRule="auto"/>
        <w:rPr>
          <w:rFonts w:eastAsia="Times New Roman"/>
          <w:b/>
          <w:bCs/>
          <w:sz w:val="22"/>
          <w:szCs w:val="22"/>
          <w:lang w:eastAsia="en-GB"/>
        </w:rPr>
      </w:pPr>
    </w:p>
    <w:p w14:paraId="3422C2C6" w14:textId="77777777" w:rsidR="00C74F22" w:rsidRDefault="00C74F22" w:rsidP="00A13A8F">
      <w:pPr>
        <w:spacing w:before="100" w:beforeAutospacing="1" w:after="100" w:afterAutospacing="1" w:line="240" w:lineRule="auto"/>
        <w:rPr>
          <w:rFonts w:eastAsia="Times New Roman"/>
          <w:b/>
          <w:bCs/>
          <w:sz w:val="22"/>
          <w:szCs w:val="22"/>
          <w:lang w:eastAsia="en-GB"/>
        </w:rPr>
      </w:pPr>
    </w:p>
    <w:p w14:paraId="719C9F8A" w14:textId="064B256C" w:rsidR="00A078F9" w:rsidRDefault="00A13A8F" w:rsidP="00A13A8F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A13A8F">
        <w:rPr>
          <w:rFonts w:eastAsia="Times New Roman"/>
          <w:b/>
          <w:bCs/>
          <w:sz w:val="22"/>
          <w:szCs w:val="22"/>
          <w:lang w:eastAsia="en-GB"/>
        </w:rPr>
        <w:t>Supporting Objectives</w:t>
      </w:r>
    </w:p>
    <w:p w14:paraId="5571CFD1" w14:textId="3793E0BD" w:rsidR="00CE0F4A" w:rsidRDefault="00866A7A" w:rsidP="00EA7F0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 xml:space="preserve">Support the delivery of the </w:t>
      </w:r>
      <w:r w:rsidR="00432B92">
        <w:rPr>
          <w:rFonts w:eastAsia="Times New Roman"/>
          <w:sz w:val="22"/>
          <w:szCs w:val="22"/>
          <w:lang w:eastAsia="en-GB"/>
        </w:rPr>
        <w:t xml:space="preserve">UK </w:t>
      </w:r>
      <w:r w:rsidR="00C35D37">
        <w:rPr>
          <w:rFonts w:eastAsia="Times New Roman"/>
          <w:sz w:val="22"/>
          <w:szCs w:val="22"/>
          <w:lang w:eastAsia="en-GB"/>
        </w:rPr>
        <w:t>government</w:t>
      </w:r>
      <w:r w:rsidR="00432B92">
        <w:rPr>
          <w:rFonts w:eastAsia="Times New Roman"/>
          <w:sz w:val="22"/>
          <w:szCs w:val="22"/>
          <w:lang w:eastAsia="en-GB"/>
        </w:rPr>
        <w:t>’</w:t>
      </w:r>
      <w:r w:rsidR="00C35D37">
        <w:rPr>
          <w:rFonts w:eastAsia="Times New Roman"/>
          <w:sz w:val="22"/>
          <w:szCs w:val="22"/>
          <w:lang w:eastAsia="en-GB"/>
        </w:rPr>
        <w:t xml:space="preserve">s </w:t>
      </w:r>
      <w:r w:rsidR="00432B92">
        <w:rPr>
          <w:rFonts w:eastAsia="Times New Roman"/>
          <w:sz w:val="22"/>
          <w:szCs w:val="22"/>
          <w:lang w:eastAsia="en-GB"/>
        </w:rPr>
        <w:t xml:space="preserve">commitment to reach </w:t>
      </w:r>
      <w:r w:rsidR="00CE0F4A" w:rsidRPr="00C816CA">
        <w:rPr>
          <w:rFonts w:eastAsia="Times New Roman"/>
          <w:b/>
          <w:bCs/>
          <w:sz w:val="22"/>
          <w:szCs w:val="22"/>
          <w:lang w:eastAsia="en-GB"/>
        </w:rPr>
        <w:t>Net Zero</w:t>
      </w:r>
      <w:r w:rsidR="00CE0F4A">
        <w:rPr>
          <w:rFonts w:eastAsia="Times New Roman"/>
          <w:sz w:val="22"/>
          <w:szCs w:val="22"/>
          <w:lang w:eastAsia="en-GB"/>
        </w:rPr>
        <w:t xml:space="preserve"> </w:t>
      </w:r>
      <w:r w:rsidR="00432B92">
        <w:rPr>
          <w:rFonts w:eastAsia="Times New Roman"/>
          <w:sz w:val="22"/>
          <w:szCs w:val="22"/>
          <w:lang w:eastAsia="en-GB"/>
        </w:rPr>
        <w:t>by 20</w:t>
      </w:r>
      <w:r w:rsidR="00452249">
        <w:rPr>
          <w:rFonts w:eastAsia="Times New Roman"/>
          <w:sz w:val="22"/>
          <w:szCs w:val="22"/>
          <w:lang w:eastAsia="en-GB"/>
        </w:rPr>
        <w:t xml:space="preserve">50 with a focus on </w:t>
      </w:r>
      <w:r w:rsidR="00452249" w:rsidRPr="003B5DB8">
        <w:rPr>
          <w:rFonts w:eastAsia="Times New Roman"/>
          <w:sz w:val="22"/>
          <w:szCs w:val="22"/>
          <w:lang w:eastAsia="en-GB"/>
        </w:rPr>
        <w:t>well decommissioning in reservoirs that have a potential or foreseeable future use</w:t>
      </w:r>
      <w:r w:rsidR="00452249">
        <w:rPr>
          <w:rFonts w:eastAsia="Times New Roman"/>
          <w:sz w:val="22"/>
          <w:szCs w:val="22"/>
          <w:lang w:eastAsia="en-GB"/>
        </w:rPr>
        <w:t xml:space="preserve"> and </w:t>
      </w:r>
      <w:r w:rsidR="003C00EA">
        <w:rPr>
          <w:rFonts w:eastAsia="Times New Roman"/>
          <w:sz w:val="22"/>
          <w:szCs w:val="22"/>
          <w:lang w:eastAsia="en-GB"/>
        </w:rPr>
        <w:t>minimising GHG emissions</w:t>
      </w:r>
      <w:r w:rsidR="00843436">
        <w:rPr>
          <w:rFonts w:eastAsia="Times New Roman"/>
          <w:sz w:val="22"/>
          <w:szCs w:val="22"/>
          <w:lang w:eastAsia="en-GB"/>
        </w:rPr>
        <w:t>.</w:t>
      </w:r>
    </w:p>
    <w:p w14:paraId="1F3EA1D6" w14:textId="37AE0C66" w:rsidR="00CE0F4A" w:rsidRDefault="00726F14" w:rsidP="00EA7F0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Working with</w:t>
      </w:r>
      <w:r w:rsidR="00906513">
        <w:rPr>
          <w:rFonts w:eastAsia="Times New Roman"/>
          <w:sz w:val="22"/>
          <w:szCs w:val="22"/>
          <w:lang w:eastAsia="en-GB"/>
        </w:rPr>
        <w:t xml:space="preserve"> the</w:t>
      </w:r>
      <w:r>
        <w:rPr>
          <w:rFonts w:eastAsia="Times New Roman"/>
          <w:sz w:val="22"/>
          <w:szCs w:val="22"/>
          <w:lang w:eastAsia="en-GB"/>
        </w:rPr>
        <w:t xml:space="preserve"> </w:t>
      </w:r>
      <w:r w:rsidR="0070370B">
        <w:rPr>
          <w:rFonts w:eastAsia="Times New Roman"/>
          <w:sz w:val="22"/>
          <w:szCs w:val="22"/>
          <w:lang w:eastAsia="en-GB"/>
        </w:rPr>
        <w:t>DaRT</w:t>
      </w:r>
      <w:r w:rsidR="00D9196C">
        <w:rPr>
          <w:rFonts w:eastAsia="Times New Roman"/>
          <w:sz w:val="22"/>
          <w:szCs w:val="22"/>
          <w:lang w:eastAsia="en-GB"/>
        </w:rPr>
        <w:t xml:space="preserve"> to</w:t>
      </w:r>
      <w:r w:rsidR="00421369">
        <w:rPr>
          <w:rFonts w:eastAsia="Times New Roman"/>
          <w:sz w:val="22"/>
          <w:szCs w:val="22"/>
          <w:lang w:eastAsia="en-GB"/>
        </w:rPr>
        <w:t xml:space="preserve"> develop</w:t>
      </w:r>
      <w:r w:rsidR="00824336">
        <w:rPr>
          <w:rFonts w:eastAsia="Times New Roman"/>
          <w:sz w:val="22"/>
          <w:szCs w:val="22"/>
          <w:lang w:eastAsia="en-GB"/>
        </w:rPr>
        <w:t xml:space="preserve"> </w:t>
      </w:r>
      <w:r w:rsidR="00023DD8">
        <w:rPr>
          <w:rFonts w:eastAsia="Times New Roman"/>
          <w:sz w:val="22"/>
          <w:szCs w:val="22"/>
          <w:lang w:eastAsia="en-GB"/>
        </w:rPr>
        <w:t xml:space="preserve">well decommissioning </w:t>
      </w:r>
      <w:r w:rsidR="00023DD8" w:rsidRPr="00DC2D43">
        <w:rPr>
          <w:rFonts w:eastAsia="Times New Roman"/>
          <w:b/>
          <w:bCs/>
          <w:sz w:val="22"/>
          <w:szCs w:val="22"/>
          <w:lang w:eastAsia="en-GB"/>
        </w:rPr>
        <w:t>performance indicators and b</w:t>
      </w:r>
      <w:r w:rsidR="00DE086A" w:rsidRPr="00DC2D43">
        <w:rPr>
          <w:rFonts w:eastAsia="Times New Roman"/>
          <w:b/>
          <w:bCs/>
          <w:sz w:val="22"/>
          <w:szCs w:val="22"/>
          <w:lang w:eastAsia="en-GB"/>
        </w:rPr>
        <w:t>enchmark</w:t>
      </w:r>
      <w:r w:rsidR="00023DD8" w:rsidRPr="00DC2D43">
        <w:rPr>
          <w:rFonts w:eastAsia="Times New Roman"/>
          <w:b/>
          <w:bCs/>
          <w:sz w:val="22"/>
          <w:szCs w:val="22"/>
          <w:lang w:eastAsia="en-GB"/>
        </w:rPr>
        <w:t>s</w:t>
      </w:r>
      <w:r w:rsidR="00023DD8">
        <w:rPr>
          <w:rFonts w:eastAsia="Times New Roman"/>
          <w:sz w:val="22"/>
          <w:szCs w:val="22"/>
          <w:lang w:eastAsia="en-GB"/>
        </w:rPr>
        <w:t xml:space="preserve"> </w:t>
      </w:r>
      <w:r w:rsidR="00F569D7">
        <w:rPr>
          <w:rFonts w:eastAsia="Times New Roman"/>
          <w:sz w:val="22"/>
          <w:szCs w:val="22"/>
          <w:lang w:eastAsia="en-GB"/>
        </w:rPr>
        <w:t>to support planning</w:t>
      </w:r>
      <w:r w:rsidR="00AC03F0">
        <w:rPr>
          <w:rFonts w:eastAsia="Times New Roman"/>
          <w:sz w:val="22"/>
          <w:szCs w:val="22"/>
          <w:lang w:eastAsia="en-GB"/>
        </w:rPr>
        <w:t xml:space="preserve">, </w:t>
      </w:r>
      <w:r w:rsidR="00F569D7">
        <w:rPr>
          <w:rFonts w:eastAsia="Times New Roman"/>
          <w:sz w:val="22"/>
          <w:szCs w:val="22"/>
          <w:lang w:eastAsia="en-GB"/>
        </w:rPr>
        <w:t xml:space="preserve">delivery </w:t>
      </w:r>
      <w:r w:rsidR="00AC03F0">
        <w:rPr>
          <w:rFonts w:eastAsia="Times New Roman"/>
          <w:sz w:val="22"/>
          <w:szCs w:val="22"/>
          <w:lang w:eastAsia="en-GB"/>
        </w:rPr>
        <w:t xml:space="preserve">and </w:t>
      </w:r>
      <w:r w:rsidR="00F569D7">
        <w:rPr>
          <w:rFonts w:eastAsia="Times New Roman"/>
          <w:sz w:val="22"/>
          <w:szCs w:val="22"/>
          <w:lang w:eastAsia="en-GB"/>
        </w:rPr>
        <w:t>performance improvement</w:t>
      </w:r>
      <w:r w:rsidR="00200D6F">
        <w:rPr>
          <w:rFonts w:eastAsia="Times New Roman"/>
          <w:sz w:val="22"/>
          <w:szCs w:val="22"/>
          <w:lang w:eastAsia="en-GB"/>
        </w:rPr>
        <w:t>.</w:t>
      </w:r>
    </w:p>
    <w:p w14:paraId="4C2BC26A" w14:textId="77777777" w:rsidR="00761B7E" w:rsidRDefault="00761B7E" w:rsidP="00EA7F0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 xml:space="preserve">Support the </w:t>
      </w:r>
      <w:r w:rsidRPr="00EF2A79">
        <w:rPr>
          <w:rFonts w:eastAsia="Times New Roman"/>
          <w:b/>
          <w:bCs/>
          <w:sz w:val="22"/>
          <w:szCs w:val="22"/>
          <w:lang w:eastAsia="en-GB"/>
        </w:rPr>
        <w:t>s</w:t>
      </w:r>
      <w:r w:rsidR="00503C2D" w:rsidRPr="00EF2A79">
        <w:rPr>
          <w:rFonts w:eastAsia="Times New Roman"/>
          <w:b/>
          <w:bCs/>
          <w:sz w:val="22"/>
          <w:szCs w:val="22"/>
          <w:lang w:eastAsia="en-GB"/>
        </w:rPr>
        <w:t>har</w:t>
      </w:r>
      <w:r w:rsidRPr="00EF2A79">
        <w:rPr>
          <w:rFonts w:eastAsia="Times New Roman"/>
          <w:b/>
          <w:bCs/>
          <w:sz w:val="22"/>
          <w:szCs w:val="22"/>
          <w:lang w:eastAsia="en-GB"/>
        </w:rPr>
        <w:t>ing of</w:t>
      </w:r>
      <w:r w:rsidR="00503C2D" w:rsidRPr="00EF2A79">
        <w:rPr>
          <w:rFonts w:eastAsia="Times New Roman"/>
          <w:b/>
          <w:bCs/>
          <w:sz w:val="22"/>
          <w:szCs w:val="22"/>
          <w:lang w:eastAsia="en-GB"/>
        </w:rPr>
        <w:t xml:space="preserve"> lessons learned</w:t>
      </w:r>
      <w:r>
        <w:rPr>
          <w:rFonts w:eastAsia="Times New Roman"/>
          <w:sz w:val="22"/>
          <w:szCs w:val="22"/>
          <w:lang w:eastAsia="en-GB"/>
        </w:rPr>
        <w:t xml:space="preserve"> and </w:t>
      </w:r>
      <w:r w:rsidR="00503C2D">
        <w:rPr>
          <w:rFonts w:eastAsia="Times New Roman"/>
          <w:sz w:val="22"/>
          <w:szCs w:val="22"/>
          <w:lang w:eastAsia="en-GB"/>
        </w:rPr>
        <w:t>promote good practice</w:t>
      </w:r>
      <w:r>
        <w:rPr>
          <w:rFonts w:eastAsia="Times New Roman"/>
          <w:sz w:val="22"/>
          <w:szCs w:val="22"/>
          <w:lang w:eastAsia="en-GB"/>
        </w:rPr>
        <w:t>.</w:t>
      </w:r>
    </w:p>
    <w:bookmarkEnd w:id="0"/>
    <w:p w14:paraId="0B73B3E1" w14:textId="438A55E5" w:rsidR="005B2130" w:rsidRPr="00E416D4" w:rsidRDefault="00725CB5" w:rsidP="00E416D4">
      <w:pPr>
        <w:spacing w:after="120" w:line="240" w:lineRule="auto"/>
        <w:rPr>
          <w:rFonts w:eastAsia="Times New Roman"/>
          <w:sz w:val="22"/>
          <w:szCs w:val="22"/>
          <w:highlight w:val="yellow"/>
          <w:lang w:eastAsia="en-GB"/>
        </w:rPr>
      </w:pPr>
      <w:r w:rsidRPr="003E47BB">
        <w:rPr>
          <w:rFonts w:eastAsia="Times New Roman"/>
          <w:b/>
          <w:sz w:val="22"/>
          <w:szCs w:val="22"/>
          <w:lang w:eastAsia="en-GB"/>
        </w:rPr>
        <w:t>Task</w:t>
      </w:r>
      <w:r w:rsidR="00D434F0" w:rsidRPr="003E47BB">
        <w:rPr>
          <w:rFonts w:eastAsia="Times New Roman"/>
          <w:b/>
          <w:sz w:val="22"/>
          <w:szCs w:val="22"/>
          <w:lang w:eastAsia="en-GB"/>
        </w:rPr>
        <w:t xml:space="preserve"> Group</w:t>
      </w:r>
      <w:r w:rsidR="000D6571" w:rsidRPr="003E47BB">
        <w:rPr>
          <w:rFonts w:eastAsia="Times New Roman"/>
          <w:b/>
          <w:sz w:val="22"/>
          <w:szCs w:val="22"/>
          <w:lang w:eastAsia="en-GB"/>
        </w:rPr>
        <w:t xml:space="preserve"> </w:t>
      </w:r>
      <w:r w:rsidR="00BF1B8D">
        <w:rPr>
          <w:rFonts w:eastAsia="Times New Roman"/>
          <w:b/>
          <w:sz w:val="22"/>
          <w:szCs w:val="22"/>
          <w:lang w:eastAsia="en-GB"/>
        </w:rPr>
        <w:t>co-chairs</w:t>
      </w:r>
    </w:p>
    <w:p w14:paraId="23B7CC21" w14:textId="17049735" w:rsidR="00A312E1" w:rsidRPr="00E416D4" w:rsidRDefault="00A312E1" w:rsidP="00FE50FB">
      <w:pPr>
        <w:pStyle w:val="ListParagraph"/>
        <w:numPr>
          <w:ilvl w:val="0"/>
          <w:numId w:val="24"/>
        </w:numPr>
        <w:rPr>
          <w:color w:val="000000" w:themeColor="text1"/>
          <w:sz w:val="22"/>
          <w:szCs w:val="22"/>
          <w:lang w:eastAsia="en-GB"/>
        </w:rPr>
      </w:pPr>
      <w:r w:rsidRPr="00FE50FB">
        <w:rPr>
          <w:rFonts w:eastAsia="Times New Roman"/>
          <w:color w:val="000000" w:themeColor="text1"/>
          <w:sz w:val="22"/>
          <w:szCs w:val="22"/>
          <w:lang w:eastAsia="en-GB"/>
        </w:rPr>
        <w:t xml:space="preserve">Chris Wark – </w:t>
      </w:r>
      <w:r w:rsidR="000926AB" w:rsidRPr="00FE50FB">
        <w:rPr>
          <w:color w:val="000000" w:themeColor="text1"/>
          <w:sz w:val="22"/>
          <w:szCs w:val="22"/>
          <w:lang w:eastAsia="en-GB"/>
        </w:rPr>
        <w:t xml:space="preserve">Drilling, Completions &amp; Well Services Manager </w:t>
      </w:r>
      <w:r w:rsidRPr="00FE50FB">
        <w:rPr>
          <w:rFonts w:eastAsia="Times New Roman"/>
          <w:color w:val="000000" w:themeColor="text1"/>
          <w:sz w:val="22"/>
          <w:szCs w:val="22"/>
          <w:lang w:eastAsia="en-GB"/>
        </w:rPr>
        <w:t xml:space="preserve">– </w:t>
      </w:r>
      <w:r w:rsidR="000926AB" w:rsidRPr="00FE50FB">
        <w:rPr>
          <w:rFonts w:eastAsia="Times New Roman"/>
          <w:b/>
          <w:bCs/>
          <w:color w:val="000000" w:themeColor="text1"/>
          <w:sz w:val="22"/>
          <w:szCs w:val="22"/>
          <w:lang w:eastAsia="en-GB"/>
        </w:rPr>
        <w:t>CNR</w:t>
      </w:r>
      <w:r w:rsidRPr="00FE50FB">
        <w:rPr>
          <w:rFonts w:eastAsia="Times New Roman"/>
          <w:b/>
          <w:bCs/>
          <w:color w:val="000000" w:themeColor="text1"/>
          <w:sz w:val="22"/>
          <w:szCs w:val="22"/>
          <w:lang w:eastAsia="en-GB"/>
        </w:rPr>
        <w:t xml:space="preserve"> </w:t>
      </w:r>
      <w:r w:rsidRPr="00FE50FB">
        <w:rPr>
          <w:rFonts w:eastAsia="Times New Roman"/>
          <w:color w:val="000000" w:themeColor="text1"/>
          <w:sz w:val="22"/>
          <w:szCs w:val="22"/>
          <w:lang w:eastAsia="en-GB"/>
        </w:rPr>
        <w:t>(co-chair)</w:t>
      </w:r>
    </w:p>
    <w:p w14:paraId="022568AA" w14:textId="45351FA2" w:rsidR="00E416D4" w:rsidRPr="00E416D4" w:rsidRDefault="009448C0" w:rsidP="00FE50FB">
      <w:pPr>
        <w:pStyle w:val="ListParagraph"/>
        <w:numPr>
          <w:ilvl w:val="0"/>
          <w:numId w:val="24"/>
        </w:numPr>
        <w:rPr>
          <w:color w:val="000000" w:themeColor="text1"/>
          <w:sz w:val="22"/>
          <w:szCs w:val="22"/>
          <w:lang w:eastAsia="en-GB"/>
        </w:rPr>
      </w:pPr>
      <w:r>
        <w:rPr>
          <w:rFonts w:eastAsia="Times New Roman"/>
          <w:color w:val="000000" w:themeColor="text1"/>
          <w:sz w:val="22"/>
          <w:szCs w:val="22"/>
          <w:lang w:eastAsia="en-GB"/>
        </w:rPr>
        <w:t>Suzie Coull</w:t>
      </w:r>
      <w:r w:rsidR="00E416D4" w:rsidRPr="00FE50FB">
        <w:rPr>
          <w:rFonts w:eastAsia="Times New Roman"/>
          <w:color w:val="000000" w:themeColor="text1"/>
          <w:sz w:val="22"/>
          <w:szCs w:val="22"/>
          <w:lang w:eastAsia="en-GB"/>
        </w:rPr>
        <w:t xml:space="preserve"> – </w:t>
      </w:r>
      <w:r>
        <w:rPr>
          <w:rFonts w:eastAsia="Times New Roman"/>
          <w:color w:val="000000" w:themeColor="text1"/>
          <w:sz w:val="22"/>
          <w:szCs w:val="22"/>
          <w:lang w:eastAsia="en-GB"/>
        </w:rPr>
        <w:t>Senior Well</w:t>
      </w:r>
      <w:r w:rsidR="00E67995">
        <w:rPr>
          <w:rFonts w:eastAsia="Times New Roman"/>
          <w:color w:val="000000" w:themeColor="text1"/>
          <w:sz w:val="22"/>
          <w:szCs w:val="22"/>
          <w:lang w:eastAsia="en-GB"/>
        </w:rPr>
        <w:t>s</w:t>
      </w:r>
      <w:r>
        <w:rPr>
          <w:rFonts w:eastAsia="Times New Roman"/>
          <w:color w:val="000000" w:themeColor="text1"/>
          <w:sz w:val="22"/>
          <w:szCs w:val="22"/>
          <w:lang w:eastAsia="en-GB"/>
        </w:rPr>
        <w:t xml:space="preserve"> Decommissioning </w:t>
      </w:r>
      <w:r w:rsidR="00E67995">
        <w:rPr>
          <w:rFonts w:eastAsia="Times New Roman"/>
          <w:color w:val="000000" w:themeColor="text1"/>
          <w:sz w:val="22"/>
          <w:szCs w:val="22"/>
          <w:lang w:eastAsia="en-GB"/>
        </w:rPr>
        <w:t>Engineer</w:t>
      </w:r>
      <w:r w:rsidR="00E416D4" w:rsidRPr="00FE50FB">
        <w:rPr>
          <w:rFonts w:eastAsia="Times New Roman"/>
          <w:color w:val="000000" w:themeColor="text1"/>
          <w:sz w:val="22"/>
          <w:szCs w:val="22"/>
          <w:lang w:eastAsia="en-GB"/>
        </w:rPr>
        <w:t xml:space="preserve"> – </w:t>
      </w:r>
      <w:r w:rsidR="00E416D4" w:rsidRPr="00FE50FB">
        <w:rPr>
          <w:rFonts w:eastAsia="Times New Roman"/>
          <w:b/>
          <w:bCs/>
          <w:color w:val="000000" w:themeColor="text1"/>
          <w:sz w:val="22"/>
          <w:szCs w:val="22"/>
          <w:lang w:eastAsia="en-GB"/>
        </w:rPr>
        <w:t xml:space="preserve">NSTA </w:t>
      </w:r>
      <w:r w:rsidR="00E416D4" w:rsidRPr="00FE50FB">
        <w:rPr>
          <w:rFonts w:eastAsia="Times New Roman"/>
          <w:color w:val="000000" w:themeColor="text1"/>
          <w:sz w:val="22"/>
          <w:szCs w:val="22"/>
          <w:lang w:eastAsia="en-GB"/>
        </w:rPr>
        <w:t>(co-chair)</w:t>
      </w:r>
    </w:p>
    <w:p w14:paraId="71753B16" w14:textId="77777777" w:rsidR="00C15AC8" w:rsidRPr="00576DB8" w:rsidRDefault="00113523" w:rsidP="009A538F">
      <w:pPr>
        <w:spacing w:before="100" w:beforeAutospacing="1" w:after="100" w:afterAutospacing="1" w:line="240" w:lineRule="auto"/>
        <w:rPr>
          <w:rFonts w:eastAsia="Times New Roman"/>
          <w:b/>
          <w:sz w:val="22"/>
          <w:szCs w:val="22"/>
          <w:lang w:eastAsia="en-GB"/>
        </w:rPr>
      </w:pPr>
      <w:r w:rsidRPr="00576DB8">
        <w:rPr>
          <w:rFonts w:eastAsia="Times New Roman"/>
          <w:b/>
          <w:sz w:val="22"/>
          <w:szCs w:val="22"/>
          <w:lang w:eastAsia="en-GB"/>
        </w:rPr>
        <w:t>Meeting frequency</w:t>
      </w:r>
      <w:r w:rsidR="002D2C8D" w:rsidRPr="00576DB8">
        <w:rPr>
          <w:rFonts w:eastAsia="Times New Roman"/>
          <w:b/>
          <w:sz w:val="22"/>
          <w:szCs w:val="22"/>
          <w:lang w:eastAsia="en-GB"/>
        </w:rPr>
        <w:t xml:space="preserve"> </w:t>
      </w:r>
    </w:p>
    <w:p w14:paraId="768B3634" w14:textId="2B428CDF" w:rsidR="00113523" w:rsidRPr="00576DB8" w:rsidRDefault="000D74AA" w:rsidP="00C15AC8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b/>
          <w:sz w:val="22"/>
          <w:szCs w:val="22"/>
          <w:lang w:eastAsia="en-GB"/>
        </w:rPr>
      </w:pPr>
      <w:r>
        <w:rPr>
          <w:rFonts w:eastAsia="Times New Roman"/>
          <w:bCs/>
          <w:sz w:val="22"/>
          <w:szCs w:val="22"/>
          <w:lang w:eastAsia="en-GB"/>
        </w:rPr>
        <w:t>Meetings occur</w:t>
      </w:r>
      <w:r w:rsidR="009B7C15">
        <w:rPr>
          <w:rFonts w:eastAsia="Times New Roman"/>
          <w:bCs/>
          <w:sz w:val="22"/>
          <w:szCs w:val="22"/>
          <w:lang w:eastAsia="en-GB"/>
        </w:rPr>
        <w:t xml:space="preserve"> every second month</w:t>
      </w:r>
      <w:r w:rsidR="00105652">
        <w:rPr>
          <w:rFonts w:eastAsia="Times New Roman"/>
          <w:bCs/>
          <w:sz w:val="22"/>
          <w:szCs w:val="22"/>
          <w:lang w:eastAsia="en-GB"/>
        </w:rPr>
        <w:t xml:space="preserve"> (co</w:t>
      </w:r>
      <w:r w:rsidR="00F07021">
        <w:rPr>
          <w:rFonts w:eastAsia="Times New Roman"/>
          <w:bCs/>
          <w:sz w:val="22"/>
          <w:szCs w:val="22"/>
          <w:lang w:eastAsia="en-GB"/>
        </w:rPr>
        <w:t>mmencing January 2024)</w:t>
      </w:r>
      <w:r w:rsidR="009B7C15">
        <w:rPr>
          <w:rFonts w:eastAsia="Times New Roman"/>
          <w:bCs/>
          <w:sz w:val="22"/>
          <w:szCs w:val="22"/>
          <w:lang w:eastAsia="en-GB"/>
        </w:rPr>
        <w:t xml:space="preserve">, with yearly schedule and </w:t>
      </w:r>
      <w:r w:rsidR="00F60166">
        <w:rPr>
          <w:rFonts w:eastAsia="Times New Roman"/>
          <w:bCs/>
          <w:sz w:val="22"/>
          <w:szCs w:val="22"/>
          <w:lang w:eastAsia="en-GB"/>
        </w:rPr>
        <w:t xml:space="preserve">meeting topics or focus areas to be determined at the start of each year. </w:t>
      </w:r>
    </w:p>
    <w:p w14:paraId="7D0D64E8" w14:textId="77777777" w:rsidR="001E547E" w:rsidRDefault="001E547E" w:rsidP="001E547E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0840FDDD" w14:textId="77777777" w:rsidR="00C6118B" w:rsidRPr="00C6118B" w:rsidRDefault="00C6118B" w:rsidP="00C6118B">
      <w:pPr>
        <w:shd w:val="clear" w:color="auto" w:fill="FFFFFF"/>
        <w:spacing w:after="0" w:line="360" w:lineRule="atLeast"/>
        <w:textAlignment w:val="baseline"/>
        <w:rPr>
          <w:rFonts w:eastAsia="Times New Roman"/>
          <w:sz w:val="22"/>
          <w:szCs w:val="22"/>
          <w:lang w:eastAsia="en-GB"/>
        </w:rPr>
      </w:pPr>
      <w:r w:rsidRPr="00C6118B">
        <w:rPr>
          <w:rFonts w:eastAsia="Times New Roman"/>
          <w:b/>
          <w:bCs/>
          <w:sz w:val="22"/>
          <w:szCs w:val="22"/>
          <w:bdr w:val="none" w:sz="0" w:space="0" w:color="auto" w:frame="1"/>
          <w:lang w:eastAsia="en-GB"/>
        </w:rPr>
        <w:t>How we will work</w:t>
      </w:r>
    </w:p>
    <w:p w14:paraId="4057B5BE" w14:textId="3412F2DF" w:rsidR="00C6118B" w:rsidRPr="00C6118B" w:rsidRDefault="00C6118B" w:rsidP="00C6118B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/>
          <w:sz w:val="22"/>
          <w:szCs w:val="22"/>
          <w:lang w:eastAsia="en-GB"/>
        </w:rPr>
      </w:pPr>
      <w:r w:rsidRPr="00C6118B">
        <w:rPr>
          <w:rFonts w:eastAsia="Times New Roman"/>
          <w:sz w:val="22"/>
          <w:szCs w:val="22"/>
          <w:lang w:eastAsia="en-GB"/>
        </w:rPr>
        <w:t xml:space="preserve">When participating in </w:t>
      </w:r>
      <w:r w:rsidR="00297DF9">
        <w:rPr>
          <w:rFonts w:eastAsia="Times New Roman"/>
          <w:sz w:val="22"/>
          <w:szCs w:val="22"/>
          <w:lang w:eastAsia="en-GB"/>
        </w:rPr>
        <w:t>steering</w:t>
      </w:r>
      <w:r w:rsidR="00695220">
        <w:rPr>
          <w:rFonts w:eastAsia="Times New Roman"/>
          <w:sz w:val="22"/>
          <w:szCs w:val="22"/>
          <w:lang w:eastAsia="en-GB"/>
        </w:rPr>
        <w:t xml:space="preserve"> </w:t>
      </w:r>
      <w:r w:rsidRPr="00C6118B">
        <w:rPr>
          <w:rFonts w:eastAsia="Times New Roman"/>
          <w:sz w:val="22"/>
          <w:szCs w:val="22"/>
          <w:lang w:eastAsia="en-GB"/>
        </w:rPr>
        <w:t>group duties members will represent the UK oil and gas industry as a whole and not their individual companies.</w:t>
      </w:r>
    </w:p>
    <w:p w14:paraId="7FE4052C" w14:textId="2ED25895" w:rsidR="00C6118B" w:rsidRPr="00C6118B" w:rsidRDefault="00C6118B" w:rsidP="00C6118B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/>
          <w:sz w:val="22"/>
          <w:szCs w:val="22"/>
          <w:lang w:eastAsia="en-GB"/>
        </w:rPr>
      </w:pPr>
      <w:r w:rsidRPr="00C6118B">
        <w:rPr>
          <w:rFonts w:eastAsia="Times New Roman"/>
          <w:sz w:val="22"/>
          <w:szCs w:val="22"/>
          <w:lang w:eastAsia="en-GB"/>
        </w:rPr>
        <w:t xml:space="preserve">The </w:t>
      </w:r>
      <w:r w:rsidR="00695220">
        <w:rPr>
          <w:rFonts w:eastAsia="Times New Roman"/>
          <w:sz w:val="22"/>
          <w:szCs w:val="22"/>
          <w:lang w:eastAsia="en-GB"/>
        </w:rPr>
        <w:t>Well Decom</w:t>
      </w:r>
      <w:r w:rsidR="002C5FC9">
        <w:rPr>
          <w:rFonts w:eastAsia="Times New Roman"/>
          <w:sz w:val="22"/>
          <w:szCs w:val="22"/>
          <w:lang w:eastAsia="en-GB"/>
        </w:rPr>
        <w:t>missioning</w:t>
      </w:r>
      <w:r w:rsidR="00695220">
        <w:rPr>
          <w:rFonts w:eastAsia="Times New Roman"/>
          <w:sz w:val="22"/>
          <w:szCs w:val="22"/>
          <w:lang w:eastAsia="en-GB"/>
        </w:rPr>
        <w:t xml:space="preserve"> </w:t>
      </w:r>
      <w:r w:rsidR="00297DF9">
        <w:rPr>
          <w:rFonts w:eastAsia="Times New Roman"/>
          <w:sz w:val="22"/>
          <w:szCs w:val="22"/>
          <w:lang w:eastAsia="en-GB"/>
        </w:rPr>
        <w:t>Steering</w:t>
      </w:r>
      <w:r w:rsidR="00695220">
        <w:rPr>
          <w:rFonts w:eastAsia="Times New Roman"/>
          <w:sz w:val="22"/>
          <w:szCs w:val="22"/>
          <w:lang w:eastAsia="en-GB"/>
        </w:rPr>
        <w:t xml:space="preserve"> Group </w:t>
      </w:r>
      <w:r w:rsidR="00297DF9">
        <w:rPr>
          <w:rFonts w:eastAsia="Times New Roman"/>
          <w:sz w:val="22"/>
          <w:szCs w:val="22"/>
          <w:lang w:eastAsia="en-GB"/>
        </w:rPr>
        <w:t>may</w:t>
      </w:r>
      <w:r w:rsidRPr="00C6118B">
        <w:rPr>
          <w:rFonts w:eastAsia="Times New Roman"/>
          <w:sz w:val="22"/>
          <w:szCs w:val="22"/>
          <w:lang w:eastAsia="en-GB"/>
        </w:rPr>
        <w:t xml:space="preserve"> create and disband subgroups where appropriate.</w:t>
      </w:r>
    </w:p>
    <w:p w14:paraId="69A7704D" w14:textId="04B3FBE8" w:rsidR="00C6118B" w:rsidRDefault="00297DF9" w:rsidP="00C6118B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Steering</w:t>
      </w:r>
      <w:r w:rsidR="00695220">
        <w:rPr>
          <w:rFonts w:eastAsia="Times New Roman"/>
          <w:sz w:val="22"/>
          <w:szCs w:val="22"/>
          <w:lang w:eastAsia="en-GB"/>
        </w:rPr>
        <w:t xml:space="preserve"> group</w:t>
      </w:r>
      <w:r w:rsidR="00C6118B" w:rsidRPr="00C6118B">
        <w:rPr>
          <w:rFonts w:eastAsia="Times New Roman"/>
          <w:sz w:val="22"/>
          <w:szCs w:val="22"/>
          <w:lang w:eastAsia="en-GB"/>
        </w:rPr>
        <w:t xml:space="preserve"> members will highlight any perceived or real conflicts of interest to the chair</w:t>
      </w:r>
      <w:r w:rsidR="003E47BB">
        <w:rPr>
          <w:rFonts w:eastAsia="Times New Roman"/>
          <w:sz w:val="22"/>
          <w:szCs w:val="22"/>
          <w:lang w:eastAsia="en-GB"/>
        </w:rPr>
        <w:t>(s)</w:t>
      </w:r>
      <w:r w:rsidR="00C6118B" w:rsidRPr="00C6118B">
        <w:rPr>
          <w:rFonts w:eastAsia="Times New Roman"/>
          <w:sz w:val="22"/>
          <w:szCs w:val="22"/>
          <w:lang w:eastAsia="en-GB"/>
        </w:rPr>
        <w:t xml:space="preserve"> or secretaria</w:t>
      </w:r>
      <w:r w:rsidR="00695220">
        <w:rPr>
          <w:rFonts w:eastAsia="Times New Roman"/>
          <w:sz w:val="22"/>
          <w:szCs w:val="22"/>
          <w:lang w:eastAsia="en-GB"/>
        </w:rPr>
        <w:t>t.</w:t>
      </w:r>
    </w:p>
    <w:p w14:paraId="493C52C5" w14:textId="057DFE3E" w:rsidR="002B1E11" w:rsidRPr="00C6118B" w:rsidRDefault="1B928B66" w:rsidP="7C339EC0">
      <w:pPr>
        <w:numPr>
          <w:ilvl w:val="0"/>
          <w:numId w:val="23"/>
        </w:numPr>
        <w:shd w:val="clear" w:color="auto" w:fill="FFFFFF" w:themeFill="background1"/>
        <w:spacing w:after="0" w:line="240" w:lineRule="auto"/>
        <w:textAlignment w:val="baseline"/>
        <w:rPr>
          <w:rFonts w:eastAsia="Times New Roman"/>
          <w:sz w:val="22"/>
          <w:szCs w:val="22"/>
          <w:lang w:eastAsia="en-GB"/>
        </w:rPr>
      </w:pPr>
      <w:r w:rsidRPr="7C339EC0">
        <w:rPr>
          <w:rFonts w:eastAsia="Times New Roman"/>
          <w:sz w:val="22"/>
          <w:szCs w:val="22"/>
          <w:lang w:eastAsia="en-GB"/>
        </w:rPr>
        <w:t>Complement</w:t>
      </w:r>
      <w:r w:rsidR="002B1E11" w:rsidRPr="7C339EC0">
        <w:rPr>
          <w:rFonts w:eastAsia="Times New Roman"/>
          <w:sz w:val="22"/>
          <w:szCs w:val="22"/>
          <w:lang w:eastAsia="en-GB"/>
        </w:rPr>
        <w:t xml:space="preserve"> existing</w:t>
      </w:r>
      <w:r w:rsidR="00330CE5" w:rsidRPr="7C339EC0">
        <w:rPr>
          <w:rFonts w:eastAsia="Times New Roman"/>
          <w:sz w:val="22"/>
          <w:szCs w:val="22"/>
          <w:lang w:eastAsia="en-GB"/>
        </w:rPr>
        <w:t xml:space="preserve"> wells </w:t>
      </w:r>
      <w:r w:rsidR="004419FC" w:rsidRPr="7C339EC0">
        <w:rPr>
          <w:rFonts w:eastAsia="Times New Roman"/>
          <w:sz w:val="22"/>
          <w:szCs w:val="22"/>
          <w:lang w:eastAsia="en-GB"/>
        </w:rPr>
        <w:t xml:space="preserve">and other </w:t>
      </w:r>
      <w:r w:rsidR="00330CE5" w:rsidRPr="7C339EC0">
        <w:rPr>
          <w:rFonts w:eastAsia="Times New Roman"/>
          <w:sz w:val="22"/>
          <w:szCs w:val="22"/>
          <w:lang w:eastAsia="en-GB"/>
        </w:rPr>
        <w:t xml:space="preserve">decom </w:t>
      </w:r>
      <w:r w:rsidR="004419FC" w:rsidRPr="7C339EC0">
        <w:rPr>
          <w:rFonts w:eastAsia="Times New Roman"/>
          <w:sz w:val="22"/>
          <w:szCs w:val="22"/>
          <w:lang w:eastAsia="en-GB"/>
        </w:rPr>
        <w:t>work</w:t>
      </w:r>
      <w:r w:rsidR="00330CE5" w:rsidRPr="7C339EC0">
        <w:rPr>
          <w:rFonts w:eastAsia="Times New Roman"/>
          <w:sz w:val="22"/>
          <w:szCs w:val="22"/>
          <w:lang w:eastAsia="en-GB"/>
        </w:rPr>
        <w:t>groups</w:t>
      </w:r>
      <w:r w:rsidR="003E47BB" w:rsidRPr="7C339EC0">
        <w:rPr>
          <w:rFonts w:eastAsia="Times New Roman"/>
          <w:sz w:val="22"/>
          <w:szCs w:val="22"/>
          <w:lang w:eastAsia="en-GB"/>
        </w:rPr>
        <w:t>.</w:t>
      </w:r>
    </w:p>
    <w:p w14:paraId="2C75CBCC" w14:textId="21DCE1B8" w:rsidR="00C5410C" w:rsidRDefault="00C5410C">
      <w:pPr>
        <w:rPr>
          <w:rFonts w:eastAsia="Times New Roman"/>
          <w:b/>
          <w:bCs/>
          <w:sz w:val="22"/>
          <w:szCs w:val="22"/>
          <w:lang w:eastAsia="en-GB"/>
        </w:rPr>
      </w:pPr>
    </w:p>
    <w:sectPr w:rsidR="00C5410C" w:rsidSect="00382C34">
      <w:headerReference w:type="default" r:id="rId14"/>
      <w:footerReference w:type="default" r:id="rId15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14C8F" w14:textId="77777777" w:rsidR="00DC6E8E" w:rsidRDefault="00DC6E8E" w:rsidP="00297D1E">
      <w:pPr>
        <w:spacing w:after="0" w:line="240" w:lineRule="auto"/>
      </w:pPr>
      <w:r>
        <w:separator/>
      </w:r>
    </w:p>
  </w:endnote>
  <w:endnote w:type="continuationSeparator" w:id="0">
    <w:p w14:paraId="04681D40" w14:textId="77777777" w:rsidR="00DC6E8E" w:rsidRDefault="00DC6E8E" w:rsidP="00297D1E">
      <w:pPr>
        <w:spacing w:after="0" w:line="240" w:lineRule="auto"/>
      </w:pPr>
      <w:r>
        <w:continuationSeparator/>
      </w:r>
    </w:p>
  </w:endnote>
  <w:endnote w:type="continuationNotice" w:id="1">
    <w:p w14:paraId="34E734F4" w14:textId="77777777" w:rsidR="00DC6E8E" w:rsidRDefault="00DC6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BAA1" w14:textId="53474077" w:rsidR="0080337A" w:rsidRDefault="0064158B" w:rsidP="00297D1E">
    <w:pPr>
      <w:pStyle w:val="Footer"/>
      <w:pBdr>
        <w:top w:val="single" w:sz="4" w:space="1" w:color="auto"/>
      </w:pBdr>
    </w:pPr>
    <w:r w:rsidRPr="0064158B">
      <w:t xml:space="preserve">Page | </w:t>
    </w:r>
    <w:r w:rsidRPr="0064158B">
      <w:fldChar w:fldCharType="begin"/>
    </w:r>
    <w:r w:rsidRPr="0064158B">
      <w:instrText xml:space="preserve"> PAGE   \* MERGEFORMAT </w:instrText>
    </w:r>
    <w:r w:rsidRPr="0064158B">
      <w:fldChar w:fldCharType="separate"/>
    </w:r>
    <w:r w:rsidR="009D4B38">
      <w:rPr>
        <w:noProof/>
      </w:rPr>
      <w:t>1</w:t>
    </w:r>
    <w:r w:rsidRPr="0064158B">
      <w:rPr>
        <w:noProof/>
      </w:rPr>
      <w:fldChar w:fldCharType="end"/>
    </w:r>
    <w:r w:rsidR="002F0BAA">
      <w:rPr>
        <w:noProof/>
      </w:rPr>
      <w:tab/>
    </w:r>
    <w:r w:rsidR="002F0BAA">
      <w:rPr>
        <w:noProof/>
      </w:rP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62B7A" w14:textId="77777777" w:rsidR="00DC6E8E" w:rsidRDefault="00DC6E8E" w:rsidP="00297D1E">
      <w:pPr>
        <w:spacing w:after="0" w:line="240" w:lineRule="auto"/>
      </w:pPr>
      <w:r>
        <w:separator/>
      </w:r>
    </w:p>
  </w:footnote>
  <w:footnote w:type="continuationSeparator" w:id="0">
    <w:p w14:paraId="2C8058E4" w14:textId="77777777" w:rsidR="00DC6E8E" w:rsidRDefault="00DC6E8E" w:rsidP="00297D1E">
      <w:pPr>
        <w:spacing w:after="0" w:line="240" w:lineRule="auto"/>
      </w:pPr>
      <w:r>
        <w:continuationSeparator/>
      </w:r>
    </w:p>
  </w:footnote>
  <w:footnote w:type="continuationNotice" w:id="1">
    <w:p w14:paraId="4AC774E3" w14:textId="77777777" w:rsidR="00DC6E8E" w:rsidRDefault="00DC6E8E">
      <w:pPr>
        <w:spacing w:after="0" w:line="240" w:lineRule="auto"/>
      </w:pPr>
    </w:p>
  </w:footnote>
  <w:footnote w:id="2">
    <w:p w14:paraId="65D7C9CC" w14:textId="17C30AFF" w:rsidR="00B41ABB" w:rsidRDefault="00B41ABB">
      <w:pPr>
        <w:pStyle w:val="FootnoteText"/>
      </w:pPr>
      <w:r>
        <w:rPr>
          <w:rStyle w:val="FootnoteReference"/>
        </w:rPr>
        <w:footnoteRef/>
      </w:r>
      <w:r>
        <w:t xml:space="preserve"> From the </w:t>
      </w:r>
      <w:r w:rsidR="007B0C53" w:rsidRPr="007B0C53">
        <w:t>UKCS Decommissioning Cost and Performance Report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C2987" w14:textId="07DB64CF" w:rsidR="0080337A" w:rsidRPr="00297D1E" w:rsidRDefault="00A13A8F" w:rsidP="00297D1E">
    <w:pPr>
      <w:pStyle w:val="Header"/>
      <w:pBdr>
        <w:bottom w:val="single" w:sz="4" w:space="1" w:color="auto"/>
      </w:pBdr>
      <w:jc w:val="center"/>
      <w:rPr>
        <w:b/>
        <w:sz w:val="32"/>
      </w:rPr>
    </w:pPr>
    <w:bookmarkStart w:id="1" w:name="_Hlk508028608"/>
    <w:bookmarkStart w:id="2" w:name="_Hlk508028609"/>
    <w:r>
      <w:rPr>
        <w:b/>
        <w:sz w:val="32"/>
      </w:rPr>
      <w:t>North Sea Transition</w:t>
    </w:r>
    <w:r w:rsidR="0080337A" w:rsidRPr="00297D1E">
      <w:rPr>
        <w:b/>
        <w:sz w:val="32"/>
      </w:rPr>
      <w:t xml:space="preserve"> </w:t>
    </w:r>
    <w:r w:rsidR="007E3000">
      <w:rPr>
        <w:b/>
        <w:sz w:val="32"/>
      </w:rPr>
      <w:t>Forum</w:t>
    </w:r>
  </w:p>
  <w:p w14:paraId="54F212E8" w14:textId="77777777" w:rsidR="0080337A" w:rsidRPr="00297D1E" w:rsidRDefault="0080337A" w:rsidP="00297D1E">
    <w:pPr>
      <w:pStyle w:val="Header"/>
      <w:pBdr>
        <w:bottom w:val="single" w:sz="4" w:space="1" w:color="auto"/>
      </w:pBdr>
      <w:jc w:val="center"/>
      <w:rPr>
        <w:b/>
        <w:sz w:val="32"/>
      </w:rPr>
    </w:pPr>
  </w:p>
  <w:p w14:paraId="65CC39A7" w14:textId="26E0B80D" w:rsidR="0080337A" w:rsidRPr="00297D1E" w:rsidRDefault="00B058FC" w:rsidP="00297D1E">
    <w:pPr>
      <w:pStyle w:val="Header"/>
      <w:pBdr>
        <w:bottom w:val="single" w:sz="4" w:space="1" w:color="auto"/>
      </w:pBdr>
      <w:jc w:val="center"/>
      <w:rPr>
        <w:b/>
        <w:sz w:val="32"/>
      </w:rPr>
    </w:pPr>
    <w:r>
      <w:rPr>
        <w:b/>
        <w:sz w:val="32"/>
      </w:rPr>
      <w:t>Wells</w:t>
    </w:r>
    <w:r w:rsidR="0080337A" w:rsidRPr="00297D1E">
      <w:rPr>
        <w:b/>
        <w:sz w:val="32"/>
      </w:rPr>
      <w:t xml:space="preserve"> Taskforce</w:t>
    </w:r>
    <w:r w:rsidR="00470027">
      <w:rPr>
        <w:b/>
        <w:sz w:val="32"/>
      </w:rPr>
      <w:t>:</w:t>
    </w:r>
    <w:r w:rsidR="0080337A">
      <w:rPr>
        <w:b/>
        <w:sz w:val="32"/>
      </w:rPr>
      <w:br/>
    </w:r>
    <w:bookmarkEnd w:id="1"/>
    <w:bookmarkEnd w:id="2"/>
    <w:r w:rsidR="00290263">
      <w:rPr>
        <w:b/>
        <w:sz w:val="32"/>
      </w:rPr>
      <w:t xml:space="preserve">Well Decommissioning </w:t>
    </w:r>
    <w:r w:rsidR="00470027">
      <w:rPr>
        <w:b/>
        <w:sz w:val="32"/>
      </w:rPr>
      <w:t xml:space="preserve">Steering </w:t>
    </w:r>
    <w:r w:rsidR="002D55E1">
      <w:rPr>
        <w:b/>
        <w:sz w:val="32"/>
      </w:rPr>
      <w:t xml:space="preserve">Group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13FC"/>
    <w:multiLevelType w:val="hybridMultilevel"/>
    <w:tmpl w:val="AE0A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4B7A"/>
    <w:multiLevelType w:val="multilevel"/>
    <w:tmpl w:val="B486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07B26"/>
    <w:multiLevelType w:val="multilevel"/>
    <w:tmpl w:val="AA9E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2201E"/>
    <w:multiLevelType w:val="multilevel"/>
    <w:tmpl w:val="AA9E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37ABE"/>
    <w:multiLevelType w:val="multilevel"/>
    <w:tmpl w:val="491A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477D7"/>
    <w:multiLevelType w:val="multilevel"/>
    <w:tmpl w:val="AA9E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5199F"/>
    <w:multiLevelType w:val="multilevel"/>
    <w:tmpl w:val="174074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032DB"/>
    <w:multiLevelType w:val="hybridMultilevel"/>
    <w:tmpl w:val="5F84D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CB5"/>
    <w:multiLevelType w:val="hybridMultilevel"/>
    <w:tmpl w:val="25AC8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E40A7"/>
    <w:multiLevelType w:val="hybridMultilevel"/>
    <w:tmpl w:val="02B05B44"/>
    <w:lvl w:ilvl="0" w:tplc="BED81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2C3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A69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A8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A6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242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C6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0D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00B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326F62"/>
    <w:multiLevelType w:val="hybridMultilevel"/>
    <w:tmpl w:val="BAC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E7764"/>
    <w:multiLevelType w:val="hybridMultilevel"/>
    <w:tmpl w:val="2BD87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24C8D"/>
    <w:multiLevelType w:val="hybridMultilevel"/>
    <w:tmpl w:val="FF8E7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45E1C"/>
    <w:multiLevelType w:val="hybridMultilevel"/>
    <w:tmpl w:val="3210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17163"/>
    <w:multiLevelType w:val="hybridMultilevel"/>
    <w:tmpl w:val="EFAAE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75EB3"/>
    <w:multiLevelType w:val="hybridMultilevel"/>
    <w:tmpl w:val="8318AD42"/>
    <w:lvl w:ilvl="0" w:tplc="69A08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86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C2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E1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AE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E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4F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B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81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5F5C7B"/>
    <w:multiLevelType w:val="hybridMultilevel"/>
    <w:tmpl w:val="69CAE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525A8"/>
    <w:multiLevelType w:val="hybridMultilevel"/>
    <w:tmpl w:val="90C4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C2AFF"/>
    <w:multiLevelType w:val="hybridMultilevel"/>
    <w:tmpl w:val="76841EB4"/>
    <w:lvl w:ilvl="0" w:tplc="5AFE3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CD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CA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45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A6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C5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CB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2C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4D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15418C"/>
    <w:multiLevelType w:val="hybridMultilevel"/>
    <w:tmpl w:val="B7A01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E77A2"/>
    <w:multiLevelType w:val="hybridMultilevel"/>
    <w:tmpl w:val="90DCD400"/>
    <w:lvl w:ilvl="0" w:tplc="A6827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44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EB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E2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2F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80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40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CA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2D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B105C24"/>
    <w:multiLevelType w:val="hybridMultilevel"/>
    <w:tmpl w:val="4FBE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D2C39"/>
    <w:multiLevelType w:val="multilevel"/>
    <w:tmpl w:val="AA9E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8836">
    <w:abstractNumId w:val="22"/>
  </w:num>
  <w:num w:numId="2" w16cid:durableId="1370496610">
    <w:abstractNumId w:val="1"/>
  </w:num>
  <w:num w:numId="3" w16cid:durableId="1967735430">
    <w:abstractNumId w:val="20"/>
  </w:num>
  <w:num w:numId="4" w16cid:durableId="534347264">
    <w:abstractNumId w:val="15"/>
  </w:num>
  <w:num w:numId="5" w16cid:durableId="539322290">
    <w:abstractNumId w:val="18"/>
  </w:num>
  <w:num w:numId="6" w16cid:durableId="522666320">
    <w:abstractNumId w:val="12"/>
  </w:num>
  <w:num w:numId="7" w16cid:durableId="1486311046">
    <w:abstractNumId w:val="7"/>
  </w:num>
  <w:num w:numId="8" w16cid:durableId="17894836">
    <w:abstractNumId w:val="10"/>
  </w:num>
  <w:num w:numId="9" w16cid:durableId="279580646">
    <w:abstractNumId w:val="11"/>
  </w:num>
  <w:num w:numId="10" w16cid:durableId="1697120712">
    <w:abstractNumId w:val="8"/>
  </w:num>
  <w:num w:numId="11" w16cid:durableId="467011835">
    <w:abstractNumId w:val="5"/>
  </w:num>
  <w:num w:numId="12" w16cid:durableId="1627350587">
    <w:abstractNumId w:val="9"/>
  </w:num>
  <w:num w:numId="13" w16cid:durableId="1402405403">
    <w:abstractNumId w:val="14"/>
  </w:num>
  <w:num w:numId="14" w16cid:durableId="1597638099">
    <w:abstractNumId w:val="13"/>
  </w:num>
  <w:num w:numId="15" w16cid:durableId="1850868364">
    <w:abstractNumId w:val="21"/>
  </w:num>
  <w:num w:numId="16" w16cid:durableId="520050868">
    <w:abstractNumId w:val="2"/>
  </w:num>
  <w:num w:numId="17" w16cid:durableId="1190146200">
    <w:abstractNumId w:val="3"/>
  </w:num>
  <w:num w:numId="18" w16cid:durableId="1270358054">
    <w:abstractNumId w:val="16"/>
  </w:num>
  <w:num w:numId="19" w16cid:durableId="239562969">
    <w:abstractNumId w:val="0"/>
  </w:num>
  <w:num w:numId="20" w16cid:durableId="14012925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061993">
    <w:abstractNumId w:val="6"/>
  </w:num>
  <w:num w:numId="22" w16cid:durableId="1492601613">
    <w:abstractNumId w:val="19"/>
  </w:num>
  <w:num w:numId="23" w16cid:durableId="195852842">
    <w:abstractNumId w:val="4"/>
  </w:num>
  <w:num w:numId="24" w16cid:durableId="334322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B2"/>
    <w:rsid w:val="000034CD"/>
    <w:rsid w:val="00005B01"/>
    <w:rsid w:val="00006F52"/>
    <w:rsid w:val="00015E09"/>
    <w:rsid w:val="0002169E"/>
    <w:rsid w:val="00023DD8"/>
    <w:rsid w:val="00026643"/>
    <w:rsid w:val="000338D1"/>
    <w:rsid w:val="00034233"/>
    <w:rsid w:val="0003459D"/>
    <w:rsid w:val="0006171E"/>
    <w:rsid w:val="0007414B"/>
    <w:rsid w:val="00077F34"/>
    <w:rsid w:val="00082979"/>
    <w:rsid w:val="00084456"/>
    <w:rsid w:val="000926AB"/>
    <w:rsid w:val="000942C5"/>
    <w:rsid w:val="000A21EF"/>
    <w:rsid w:val="000D60A9"/>
    <w:rsid w:val="000D6571"/>
    <w:rsid w:val="000D74AA"/>
    <w:rsid w:val="000E3562"/>
    <w:rsid w:val="000E3911"/>
    <w:rsid w:val="000F3EF3"/>
    <w:rsid w:val="000F6331"/>
    <w:rsid w:val="00105652"/>
    <w:rsid w:val="00112A89"/>
    <w:rsid w:val="00113523"/>
    <w:rsid w:val="00131781"/>
    <w:rsid w:val="00134669"/>
    <w:rsid w:val="00144EB2"/>
    <w:rsid w:val="00146DA4"/>
    <w:rsid w:val="00161C10"/>
    <w:rsid w:val="00163CBB"/>
    <w:rsid w:val="0016416A"/>
    <w:rsid w:val="00164D52"/>
    <w:rsid w:val="00167812"/>
    <w:rsid w:val="00167A03"/>
    <w:rsid w:val="001722AA"/>
    <w:rsid w:val="00197240"/>
    <w:rsid w:val="001A09F1"/>
    <w:rsid w:val="001A48D3"/>
    <w:rsid w:val="001A5F0E"/>
    <w:rsid w:val="001A62B8"/>
    <w:rsid w:val="001B08CB"/>
    <w:rsid w:val="001D2275"/>
    <w:rsid w:val="001D4173"/>
    <w:rsid w:val="001D5997"/>
    <w:rsid w:val="001E1DB5"/>
    <w:rsid w:val="001E547E"/>
    <w:rsid w:val="001E5B70"/>
    <w:rsid w:val="001F548D"/>
    <w:rsid w:val="00200D6F"/>
    <w:rsid w:val="0020353C"/>
    <w:rsid w:val="00203CC1"/>
    <w:rsid w:val="002133E4"/>
    <w:rsid w:val="00216A26"/>
    <w:rsid w:val="002172C8"/>
    <w:rsid w:val="002226D2"/>
    <w:rsid w:val="002226E7"/>
    <w:rsid w:val="00232FD8"/>
    <w:rsid w:val="00234438"/>
    <w:rsid w:val="00234CCA"/>
    <w:rsid w:val="00234F88"/>
    <w:rsid w:val="002557B9"/>
    <w:rsid w:val="0027544A"/>
    <w:rsid w:val="002812B9"/>
    <w:rsid w:val="00290263"/>
    <w:rsid w:val="00292893"/>
    <w:rsid w:val="00296E80"/>
    <w:rsid w:val="00297B1E"/>
    <w:rsid w:val="00297D1E"/>
    <w:rsid w:val="00297DF9"/>
    <w:rsid w:val="002A2976"/>
    <w:rsid w:val="002A6053"/>
    <w:rsid w:val="002B1E11"/>
    <w:rsid w:val="002B4AC7"/>
    <w:rsid w:val="002B5611"/>
    <w:rsid w:val="002B6E7A"/>
    <w:rsid w:val="002C2C8F"/>
    <w:rsid w:val="002C5FC9"/>
    <w:rsid w:val="002D2C8D"/>
    <w:rsid w:val="002D3B99"/>
    <w:rsid w:val="002D44FB"/>
    <w:rsid w:val="002D55E1"/>
    <w:rsid w:val="002F0BAA"/>
    <w:rsid w:val="00301375"/>
    <w:rsid w:val="00313101"/>
    <w:rsid w:val="00316EFE"/>
    <w:rsid w:val="00330CE5"/>
    <w:rsid w:val="0034428A"/>
    <w:rsid w:val="00345C7C"/>
    <w:rsid w:val="0036002E"/>
    <w:rsid w:val="0036551E"/>
    <w:rsid w:val="003776BA"/>
    <w:rsid w:val="00382C34"/>
    <w:rsid w:val="00391B51"/>
    <w:rsid w:val="00394148"/>
    <w:rsid w:val="003B1D51"/>
    <w:rsid w:val="003B4D04"/>
    <w:rsid w:val="003B5DB8"/>
    <w:rsid w:val="003B68B8"/>
    <w:rsid w:val="003C00EA"/>
    <w:rsid w:val="003C6E45"/>
    <w:rsid w:val="003E47BB"/>
    <w:rsid w:val="003E60E8"/>
    <w:rsid w:val="003E7B88"/>
    <w:rsid w:val="003F79D5"/>
    <w:rsid w:val="00404C28"/>
    <w:rsid w:val="00405C40"/>
    <w:rsid w:val="00410236"/>
    <w:rsid w:val="00411A89"/>
    <w:rsid w:val="00414EF8"/>
    <w:rsid w:val="00421369"/>
    <w:rsid w:val="00421BA8"/>
    <w:rsid w:val="00432B92"/>
    <w:rsid w:val="00440838"/>
    <w:rsid w:val="0044158B"/>
    <w:rsid w:val="004419FC"/>
    <w:rsid w:val="00452249"/>
    <w:rsid w:val="00470027"/>
    <w:rsid w:val="0047012B"/>
    <w:rsid w:val="00470A61"/>
    <w:rsid w:val="00471C60"/>
    <w:rsid w:val="004777A5"/>
    <w:rsid w:val="00477FCF"/>
    <w:rsid w:val="0048472D"/>
    <w:rsid w:val="00485D92"/>
    <w:rsid w:val="0049025A"/>
    <w:rsid w:val="00494FB9"/>
    <w:rsid w:val="004A162E"/>
    <w:rsid w:val="004B0A74"/>
    <w:rsid w:val="004C1D2B"/>
    <w:rsid w:val="004C7AA0"/>
    <w:rsid w:val="004D64D0"/>
    <w:rsid w:val="004E689C"/>
    <w:rsid w:val="004F29A7"/>
    <w:rsid w:val="004F6FD7"/>
    <w:rsid w:val="00503C2D"/>
    <w:rsid w:val="00505A7A"/>
    <w:rsid w:val="00520FE8"/>
    <w:rsid w:val="00525CF1"/>
    <w:rsid w:val="00527B05"/>
    <w:rsid w:val="00527B53"/>
    <w:rsid w:val="00534B55"/>
    <w:rsid w:val="005471DB"/>
    <w:rsid w:val="00553426"/>
    <w:rsid w:val="00571195"/>
    <w:rsid w:val="005747FC"/>
    <w:rsid w:val="005767B6"/>
    <w:rsid w:val="00576DB8"/>
    <w:rsid w:val="005A3338"/>
    <w:rsid w:val="005A48D5"/>
    <w:rsid w:val="005B09F6"/>
    <w:rsid w:val="005B2130"/>
    <w:rsid w:val="005B5683"/>
    <w:rsid w:val="005D1BA1"/>
    <w:rsid w:val="005D34C5"/>
    <w:rsid w:val="005E0623"/>
    <w:rsid w:val="005E4CEC"/>
    <w:rsid w:val="005E7843"/>
    <w:rsid w:val="005F065D"/>
    <w:rsid w:val="005F15A5"/>
    <w:rsid w:val="005F2F69"/>
    <w:rsid w:val="005F6242"/>
    <w:rsid w:val="006052A4"/>
    <w:rsid w:val="0060786A"/>
    <w:rsid w:val="00607DDD"/>
    <w:rsid w:val="0063049F"/>
    <w:rsid w:val="00630B60"/>
    <w:rsid w:val="00631F3C"/>
    <w:rsid w:val="00640E7F"/>
    <w:rsid w:val="0064158B"/>
    <w:rsid w:val="00647FE5"/>
    <w:rsid w:val="00650592"/>
    <w:rsid w:val="0065319C"/>
    <w:rsid w:val="00655C7B"/>
    <w:rsid w:val="006634DB"/>
    <w:rsid w:val="00664A73"/>
    <w:rsid w:val="00670ED0"/>
    <w:rsid w:val="006717AC"/>
    <w:rsid w:val="00680249"/>
    <w:rsid w:val="006908EB"/>
    <w:rsid w:val="006911CF"/>
    <w:rsid w:val="00693845"/>
    <w:rsid w:val="006940AA"/>
    <w:rsid w:val="00695220"/>
    <w:rsid w:val="006A20CA"/>
    <w:rsid w:val="006A3328"/>
    <w:rsid w:val="006C3D09"/>
    <w:rsid w:val="006C7D45"/>
    <w:rsid w:val="006D05C5"/>
    <w:rsid w:val="006D445D"/>
    <w:rsid w:val="006D6043"/>
    <w:rsid w:val="006F5A61"/>
    <w:rsid w:val="007008D7"/>
    <w:rsid w:val="00700FB4"/>
    <w:rsid w:val="00701C03"/>
    <w:rsid w:val="0070370B"/>
    <w:rsid w:val="00706035"/>
    <w:rsid w:val="0071003C"/>
    <w:rsid w:val="007158B4"/>
    <w:rsid w:val="007206E4"/>
    <w:rsid w:val="00721669"/>
    <w:rsid w:val="0072255F"/>
    <w:rsid w:val="00725CB5"/>
    <w:rsid w:val="00726F14"/>
    <w:rsid w:val="00754231"/>
    <w:rsid w:val="00757018"/>
    <w:rsid w:val="007619A6"/>
    <w:rsid w:val="00761B7E"/>
    <w:rsid w:val="00773DFE"/>
    <w:rsid w:val="00775785"/>
    <w:rsid w:val="0078436E"/>
    <w:rsid w:val="00792835"/>
    <w:rsid w:val="007943B2"/>
    <w:rsid w:val="00797B0D"/>
    <w:rsid w:val="007B0C53"/>
    <w:rsid w:val="007C2004"/>
    <w:rsid w:val="007D583D"/>
    <w:rsid w:val="007E1DEA"/>
    <w:rsid w:val="007E3000"/>
    <w:rsid w:val="007E644E"/>
    <w:rsid w:val="007F50F8"/>
    <w:rsid w:val="007F5C54"/>
    <w:rsid w:val="007F5D5C"/>
    <w:rsid w:val="007F73E8"/>
    <w:rsid w:val="00801720"/>
    <w:rsid w:val="0080337A"/>
    <w:rsid w:val="00824336"/>
    <w:rsid w:val="00843436"/>
    <w:rsid w:val="00855057"/>
    <w:rsid w:val="00863989"/>
    <w:rsid w:val="00866A7A"/>
    <w:rsid w:val="008715C2"/>
    <w:rsid w:val="00890009"/>
    <w:rsid w:val="008961C0"/>
    <w:rsid w:val="008A0E97"/>
    <w:rsid w:val="008B69AE"/>
    <w:rsid w:val="008C38D5"/>
    <w:rsid w:val="008D1D36"/>
    <w:rsid w:val="008D2110"/>
    <w:rsid w:val="008E72FC"/>
    <w:rsid w:val="008F18DC"/>
    <w:rsid w:val="009001D2"/>
    <w:rsid w:val="00901C59"/>
    <w:rsid w:val="00906513"/>
    <w:rsid w:val="00916111"/>
    <w:rsid w:val="00921634"/>
    <w:rsid w:val="009448C0"/>
    <w:rsid w:val="009469FE"/>
    <w:rsid w:val="00950873"/>
    <w:rsid w:val="009529AD"/>
    <w:rsid w:val="00961007"/>
    <w:rsid w:val="0097095B"/>
    <w:rsid w:val="00971E55"/>
    <w:rsid w:val="0097605F"/>
    <w:rsid w:val="00994DE9"/>
    <w:rsid w:val="00995F73"/>
    <w:rsid w:val="009A538F"/>
    <w:rsid w:val="009B3B24"/>
    <w:rsid w:val="009B7C15"/>
    <w:rsid w:val="009C08E1"/>
    <w:rsid w:val="009C0DA7"/>
    <w:rsid w:val="009D4B38"/>
    <w:rsid w:val="009E5029"/>
    <w:rsid w:val="009F2A49"/>
    <w:rsid w:val="009F433B"/>
    <w:rsid w:val="009F6B96"/>
    <w:rsid w:val="00A078F9"/>
    <w:rsid w:val="00A13A8F"/>
    <w:rsid w:val="00A17661"/>
    <w:rsid w:val="00A202B3"/>
    <w:rsid w:val="00A258B1"/>
    <w:rsid w:val="00A31207"/>
    <w:rsid w:val="00A312E1"/>
    <w:rsid w:val="00A35A8C"/>
    <w:rsid w:val="00A404A5"/>
    <w:rsid w:val="00A50C4B"/>
    <w:rsid w:val="00A516ED"/>
    <w:rsid w:val="00A62806"/>
    <w:rsid w:val="00A64BC4"/>
    <w:rsid w:val="00A76763"/>
    <w:rsid w:val="00A8284F"/>
    <w:rsid w:val="00A84017"/>
    <w:rsid w:val="00A90D71"/>
    <w:rsid w:val="00A91EEA"/>
    <w:rsid w:val="00AA207D"/>
    <w:rsid w:val="00AB0DF8"/>
    <w:rsid w:val="00AC03F0"/>
    <w:rsid w:val="00AC1E27"/>
    <w:rsid w:val="00AC219D"/>
    <w:rsid w:val="00AD37A9"/>
    <w:rsid w:val="00AE0341"/>
    <w:rsid w:val="00AF4D31"/>
    <w:rsid w:val="00AF7983"/>
    <w:rsid w:val="00B02CAB"/>
    <w:rsid w:val="00B058FC"/>
    <w:rsid w:val="00B16450"/>
    <w:rsid w:val="00B166F3"/>
    <w:rsid w:val="00B21236"/>
    <w:rsid w:val="00B2528A"/>
    <w:rsid w:val="00B31B21"/>
    <w:rsid w:val="00B3300E"/>
    <w:rsid w:val="00B36C87"/>
    <w:rsid w:val="00B41ABB"/>
    <w:rsid w:val="00B451D8"/>
    <w:rsid w:val="00B567D0"/>
    <w:rsid w:val="00B716B7"/>
    <w:rsid w:val="00B83D8D"/>
    <w:rsid w:val="00B91B16"/>
    <w:rsid w:val="00B97370"/>
    <w:rsid w:val="00BB03AB"/>
    <w:rsid w:val="00BB5AFD"/>
    <w:rsid w:val="00BC4B5B"/>
    <w:rsid w:val="00BC6C04"/>
    <w:rsid w:val="00BD4B65"/>
    <w:rsid w:val="00BE3A4E"/>
    <w:rsid w:val="00BE53F9"/>
    <w:rsid w:val="00BF1B8D"/>
    <w:rsid w:val="00BF1B8E"/>
    <w:rsid w:val="00BF5175"/>
    <w:rsid w:val="00C0300A"/>
    <w:rsid w:val="00C059DE"/>
    <w:rsid w:val="00C06123"/>
    <w:rsid w:val="00C07BC6"/>
    <w:rsid w:val="00C15AC8"/>
    <w:rsid w:val="00C25935"/>
    <w:rsid w:val="00C30164"/>
    <w:rsid w:val="00C35D37"/>
    <w:rsid w:val="00C37CEA"/>
    <w:rsid w:val="00C50E8D"/>
    <w:rsid w:val="00C5410C"/>
    <w:rsid w:val="00C541ED"/>
    <w:rsid w:val="00C60C9E"/>
    <w:rsid w:val="00C6118B"/>
    <w:rsid w:val="00C62863"/>
    <w:rsid w:val="00C74F22"/>
    <w:rsid w:val="00C816CA"/>
    <w:rsid w:val="00C86564"/>
    <w:rsid w:val="00C87CC8"/>
    <w:rsid w:val="00CA26D0"/>
    <w:rsid w:val="00CB4D05"/>
    <w:rsid w:val="00CB53BD"/>
    <w:rsid w:val="00CB5540"/>
    <w:rsid w:val="00CB5B4C"/>
    <w:rsid w:val="00CC58A3"/>
    <w:rsid w:val="00CC6088"/>
    <w:rsid w:val="00CC6435"/>
    <w:rsid w:val="00CD0F48"/>
    <w:rsid w:val="00CD38AD"/>
    <w:rsid w:val="00CD5315"/>
    <w:rsid w:val="00CD70B2"/>
    <w:rsid w:val="00CE0F4A"/>
    <w:rsid w:val="00CE1CB8"/>
    <w:rsid w:val="00CE43FD"/>
    <w:rsid w:val="00CE484D"/>
    <w:rsid w:val="00CE53ED"/>
    <w:rsid w:val="00CF2FF6"/>
    <w:rsid w:val="00D006F7"/>
    <w:rsid w:val="00D01B43"/>
    <w:rsid w:val="00D03DAD"/>
    <w:rsid w:val="00D06CD4"/>
    <w:rsid w:val="00D06EF5"/>
    <w:rsid w:val="00D13BEE"/>
    <w:rsid w:val="00D24FF6"/>
    <w:rsid w:val="00D27F5B"/>
    <w:rsid w:val="00D33F42"/>
    <w:rsid w:val="00D35AFB"/>
    <w:rsid w:val="00D40092"/>
    <w:rsid w:val="00D434F0"/>
    <w:rsid w:val="00D4681C"/>
    <w:rsid w:val="00D46A9A"/>
    <w:rsid w:val="00D52D9F"/>
    <w:rsid w:val="00D65C7F"/>
    <w:rsid w:val="00D7649A"/>
    <w:rsid w:val="00D9196C"/>
    <w:rsid w:val="00D93D6C"/>
    <w:rsid w:val="00D94C0D"/>
    <w:rsid w:val="00DB1793"/>
    <w:rsid w:val="00DB2A8B"/>
    <w:rsid w:val="00DC2D43"/>
    <w:rsid w:val="00DC6E8E"/>
    <w:rsid w:val="00DD081E"/>
    <w:rsid w:val="00DE086A"/>
    <w:rsid w:val="00DE7B23"/>
    <w:rsid w:val="00DF6BAD"/>
    <w:rsid w:val="00E10814"/>
    <w:rsid w:val="00E14CA5"/>
    <w:rsid w:val="00E154F5"/>
    <w:rsid w:val="00E249A4"/>
    <w:rsid w:val="00E41471"/>
    <w:rsid w:val="00E416D4"/>
    <w:rsid w:val="00E46FAB"/>
    <w:rsid w:val="00E511DA"/>
    <w:rsid w:val="00E5716C"/>
    <w:rsid w:val="00E64EBA"/>
    <w:rsid w:val="00E67995"/>
    <w:rsid w:val="00E72084"/>
    <w:rsid w:val="00E740A3"/>
    <w:rsid w:val="00E80C28"/>
    <w:rsid w:val="00E96465"/>
    <w:rsid w:val="00EA3C9B"/>
    <w:rsid w:val="00EA692C"/>
    <w:rsid w:val="00EA7F08"/>
    <w:rsid w:val="00EB1A9D"/>
    <w:rsid w:val="00EB36B8"/>
    <w:rsid w:val="00EB7BF9"/>
    <w:rsid w:val="00EC22B9"/>
    <w:rsid w:val="00EC33D5"/>
    <w:rsid w:val="00ED1365"/>
    <w:rsid w:val="00ED26CA"/>
    <w:rsid w:val="00ED6A06"/>
    <w:rsid w:val="00EF07C2"/>
    <w:rsid w:val="00EF2A79"/>
    <w:rsid w:val="00F0069A"/>
    <w:rsid w:val="00F03E65"/>
    <w:rsid w:val="00F05C42"/>
    <w:rsid w:val="00F07021"/>
    <w:rsid w:val="00F0702C"/>
    <w:rsid w:val="00F1388B"/>
    <w:rsid w:val="00F16E29"/>
    <w:rsid w:val="00F278B3"/>
    <w:rsid w:val="00F37537"/>
    <w:rsid w:val="00F422D2"/>
    <w:rsid w:val="00F4527D"/>
    <w:rsid w:val="00F52A43"/>
    <w:rsid w:val="00F5427C"/>
    <w:rsid w:val="00F569D7"/>
    <w:rsid w:val="00F60166"/>
    <w:rsid w:val="00F626B9"/>
    <w:rsid w:val="00F662D1"/>
    <w:rsid w:val="00F66CA8"/>
    <w:rsid w:val="00F70B76"/>
    <w:rsid w:val="00F74907"/>
    <w:rsid w:val="00F82DAB"/>
    <w:rsid w:val="00F849DC"/>
    <w:rsid w:val="00F87624"/>
    <w:rsid w:val="00FA4BB4"/>
    <w:rsid w:val="00FA628A"/>
    <w:rsid w:val="00FB0DCD"/>
    <w:rsid w:val="00FB214C"/>
    <w:rsid w:val="00FC2E8C"/>
    <w:rsid w:val="00FC3188"/>
    <w:rsid w:val="00FD00CD"/>
    <w:rsid w:val="00FD288F"/>
    <w:rsid w:val="00FD595F"/>
    <w:rsid w:val="00FE50FB"/>
    <w:rsid w:val="00FE5A78"/>
    <w:rsid w:val="00FF4462"/>
    <w:rsid w:val="00FF52DC"/>
    <w:rsid w:val="00FF6517"/>
    <w:rsid w:val="0672095C"/>
    <w:rsid w:val="0B162205"/>
    <w:rsid w:val="0BC65582"/>
    <w:rsid w:val="15B6BCAA"/>
    <w:rsid w:val="1B928B66"/>
    <w:rsid w:val="24939015"/>
    <w:rsid w:val="2DF4F0BD"/>
    <w:rsid w:val="2E7EFFA1"/>
    <w:rsid w:val="2F27C489"/>
    <w:rsid w:val="3BC8579A"/>
    <w:rsid w:val="3C333B26"/>
    <w:rsid w:val="3C40F4FF"/>
    <w:rsid w:val="4DC598E6"/>
    <w:rsid w:val="5BC37C12"/>
    <w:rsid w:val="5E0822BA"/>
    <w:rsid w:val="70DA77C2"/>
    <w:rsid w:val="7A3B93C1"/>
    <w:rsid w:val="7C339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E3B10"/>
  <w15:docId w15:val="{044D6995-BE2B-412D-9187-FC554D48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D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1E"/>
  </w:style>
  <w:style w:type="paragraph" w:styleId="Footer">
    <w:name w:val="footer"/>
    <w:basedOn w:val="Normal"/>
    <w:link w:val="FooterChar"/>
    <w:uiPriority w:val="99"/>
    <w:unhideWhenUsed/>
    <w:rsid w:val="00297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1E"/>
  </w:style>
  <w:style w:type="paragraph" w:styleId="ListParagraph">
    <w:name w:val="List Paragraph"/>
    <w:basedOn w:val="Normal"/>
    <w:uiPriority w:val="34"/>
    <w:qFormat/>
    <w:rsid w:val="00297D1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08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8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083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34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6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66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6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6118B"/>
    <w:rPr>
      <w:b/>
      <w:bCs/>
    </w:rPr>
  </w:style>
  <w:style w:type="paragraph" w:styleId="Revision">
    <w:name w:val="Revision"/>
    <w:hidden/>
    <w:uiPriority w:val="99"/>
    <w:semiHidden/>
    <w:rsid w:val="004700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2F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F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2F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2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4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2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stauthority.co.uk/about-us/north-sea-transition-forum-and-task-forces/decommissioning-and-repurposing-taskforce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stauthority.co.uk/about-us/north-sea-transition-forum-and-task-forces/wells-task-forc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tauthority.co.uk/about-us/north-sea-transition-forum-and-task-forces/wells-task-force/well-decommissioning-steering-group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0ac4d45f4074c6c9fcb16ef6f267c6a xmlns="780ddb92-627b-48f7-9c6b-b4b4d91d0cb3">
      <Terms xmlns="http://schemas.microsoft.com/office/infopath/2007/PartnerControls"/>
    </l0ac4d45f4074c6c9fcb16ef6f267c6a>
    <TaxCatchAll xmlns="49537bba-396a-4b89-9278-29987198104d" xsi:nil="true"/>
    <Comments xmlns="7e5343f1-e196-4545-8ce5-609a154a3981" xsi:nil="true"/>
    <lcf76f155ced4ddcb4097134ff3c332f xmlns="7e5343f1-e196-4545-8ce5-609a154a39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DC945CAD72340AB963CCCB7C4BD7E" ma:contentTypeVersion="18" ma:contentTypeDescription="Create a new document." ma:contentTypeScope="" ma:versionID="e94566b0db933b0c08d26bd77b9a49d0">
  <xsd:schema xmlns:xsd="http://www.w3.org/2001/XMLSchema" xmlns:xs="http://www.w3.org/2001/XMLSchema" xmlns:p="http://schemas.microsoft.com/office/2006/metadata/properties" xmlns:ns2="780ddb92-627b-48f7-9c6b-b4b4d91d0cb3" xmlns:ns3="49537bba-396a-4b89-9278-29987198104d" xmlns:ns4="7e5343f1-e196-4545-8ce5-609a154a3981" targetNamespace="http://schemas.microsoft.com/office/2006/metadata/properties" ma:root="true" ma:fieldsID="f058c98995109930f04ff0cb8d350755" ns2:_="" ns3:_="" ns4:_="">
    <xsd:import namespace="780ddb92-627b-48f7-9c6b-b4b4d91d0cb3"/>
    <xsd:import namespace="49537bba-396a-4b89-9278-29987198104d"/>
    <xsd:import namespace="7e5343f1-e196-4545-8ce5-609a154a3981"/>
    <xsd:element name="properties">
      <xsd:complexType>
        <xsd:sequence>
          <xsd:element name="documentManagement">
            <xsd:complexType>
              <xsd:all>
                <xsd:element ref="ns2:l0ac4d45f4074c6c9fcb16ef6f267c6a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  <xsd:element ref="ns4:Comme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ddb92-627b-48f7-9c6b-b4b4d91d0cb3" elementFormDefault="qualified">
    <xsd:import namespace="http://schemas.microsoft.com/office/2006/documentManagement/types"/>
    <xsd:import namespace="http://schemas.microsoft.com/office/infopath/2007/PartnerControls"/>
    <xsd:element name="l0ac4d45f4074c6c9fcb16ef6f267c6a" ma:index="9" nillable="true" ma:taxonomy="true" ma:internalName="l0ac4d45f4074c6c9fcb16ef6f267c6a" ma:taxonomyFieldName="Category" ma:displayName="Category" ma:default="" ma:fieldId="{50ac4d45-f407-4c6c-9fcb-16ef6f267c6a}" ma:sspId="3110710f-af1f-4457-9596-69bff0e43749" ma:termSetId="d7bcd5be-7137-4dc1-ac21-0681888cb1a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37bba-396a-4b89-9278-299871981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21b4643-c79c-468f-a10c-e20a657de55c}" ma:internalName="TaxCatchAll" ma:showField="CatchAllData" ma:web="49537bba-396a-4b89-9278-299871981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343f1-e196-4545-8ce5-609a154a3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110710f-af1f-4457-9596-69bff0e43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3AB5A-BE37-4CE2-B52E-032AFE8519F5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e5343f1-e196-4545-8ce5-609a154a3981"/>
    <ds:schemaRef ds:uri="http://schemas.microsoft.com/office/2006/documentManagement/types"/>
    <ds:schemaRef ds:uri="http://purl.org/dc/terms/"/>
    <ds:schemaRef ds:uri="49537bba-396a-4b89-9278-29987198104d"/>
    <ds:schemaRef ds:uri="780ddb92-627b-48f7-9c6b-b4b4d91d0cb3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E1E07F-91A7-4C49-A89E-2B80D99F06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EAB0C9-3F15-4AB1-B53F-8C2FA57A5B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732CC4-6829-4E8A-968A-2EF69DED4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ddb92-627b-48f7-9c6b-b4b4d91d0cb3"/>
    <ds:schemaRef ds:uri="49537bba-396a-4b89-9278-29987198104d"/>
    <ds:schemaRef ds:uri="7e5343f1-e196-4545-8ce5-609a154a3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81c59d-868e-4887-80fa-ce36f1f21b0f}" enabled="0" method="" siteId="{e681c59d-868e-4887-80fa-ce36f1f21b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3083</Characters>
  <Application>Microsoft Office Word</Application>
  <DocSecurity>4</DocSecurity>
  <Lines>25</Lines>
  <Paragraphs>7</Paragraphs>
  <ScaleCrop>false</ScaleCrop>
  <Company>DECC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Scott (OGA)</dc:creator>
  <cp:keywords/>
  <cp:lastModifiedBy>Mark Lammey (North Sea Transition Authority)</cp:lastModifiedBy>
  <cp:revision>2</cp:revision>
  <cp:lastPrinted>2018-03-10T00:57:00Z</cp:lastPrinted>
  <dcterms:created xsi:type="dcterms:W3CDTF">2025-01-22T08:46:00Z</dcterms:created>
  <dcterms:modified xsi:type="dcterms:W3CDTF">2025-01-22T08:46:00Z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0x010100679DC945CAD72340AB963CCCB7C4BD7E</vt:lpwstr>
  </property>
  <property fmtid="{D5CDD505-2E9C-101B-9397-08002B2CF9AE}" pid="3" name="Category">
    <vt:lpwstr/>
  </property>
  <property fmtid="{D5CDD505-2E9C-101B-9397-08002B2CF9AE}" pid="4" name="MediaServiceImageTags">
    <vt:lpwstr/>
  </property>
</Properties>
</file>